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DC631" w14:textId="77777777" w:rsidR="007469C9" w:rsidRPr="00CB1460" w:rsidRDefault="007469C9" w:rsidP="00554E0E">
      <w:pPr>
        <w:jc w:val="both"/>
        <w:rPr>
          <w:rFonts w:asciiTheme="minorHAnsi" w:hAnsiTheme="minorHAnsi"/>
          <w:sz w:val="26"/>
          <w:szCs w:val="26"/>
        </w:rPr>
      </w:pPr>
    </w:p>
    <w:p w14:paraId="55E936F1" w14:textId="77777777" w:rsidR="007469C9" w:rsidRPr="00CB1460" w:rsidRDefault="007469C9" w:rsidP="00554E0E">
      <w:pPr>
        <w:jc w:val="both"/>
        <w:rPr>
          <w:rFonts w:asciiTheme="minorHAnsi" w:hAnsiTheme="minorHAnsi"/>
          <w:sz w:val="26"/>
          <w:szCs w:val="26"/>
        </w:rPr>
      </w:pPr>
    </w:p>
    <w:p w14:paraId="6EEDA007" w14:textId="77777777" w:rsidR="007469C9" w:rsidRPr="00CB1460" w:rsidRDefault="007469C9" w:rsidP="00554E0E">
      <w:pPr>
        <w:jc w:val="both"/>
        <w:rPr>
          <w:rFonts w:asciiTheme="minorHAnsi" w:hAnsiTheme="minorHAnsi"/>
          <w:sz w:val="26"/>
          <w:szCs w:val="26"/>
        </w:rPr>
      </w:pPr>
    </w:p>
    <w:p w14:paraId="6A5468DD" w14:textId="77777777" w:rsidR="007469C9" w:rsidRPr="00CB1460" w:rsidRDefault="007469C9" w:rsidP="00554E0E">
      <w:pPr>
        <w:jc w:val="both"/>
        <w:rPr>
          <w:rFonts w:asciiTheme="minorHAnsi" w:hAnsiTheme="minorHAnsi"/>
          <w:sz w:val="26"/>
          <w:szCs w:val="26"/>
        </w:rPr>
      </w:pPr>
    </w:p>
    <w:p w14:paraId="1B19F2A1" w14:textId="77777777" w:rsidR="007469C9" w:rsidRPr="00CB1460" w:rsidRDefault="007469C9" w:rsidP="007469C9">
      <w:pPr>
        <w:jc w:val="center"/>
        <w:rPr>
          <w:rFonts w:asciiTheme="minorHAnsi" w:hAnsiTheme="minorHAnsi"/>
          <w:i/>
          <w:sz w:val="30"/>
          <w:szCs w:val="30"/>
        </w:rPr>
      </w:pPr>
      <w:r w:rsidRPr="00CB1460">
        <w:rPr>
          <w:rFonts w:asciiTheme="minorHAnsi" w:hAnsiTheme="minorHAnsi"/>
          <w:sz w:val="26"/>
          <w:szCs w:val="26"/>
        </w:rPr>
        <w:t xml:space="preserve"> </w:t>
      </w:r>
      <w:r w:rsidRPr="00CB1460">
        <w:rPr>
          <w:rFonts w:asciiTheme="minorHAnsi" w:hAnsiTheme="minorHAnsi"/>
          <w:i/>
          <w:sz w:val="30"/>
          <w:szCs w:val="30"/>
        </w:rPr>
        <w:t>The Big Con</w:t>
      </w:r>
    </w:p>
    <w:p w14:paraId="3BCBC29C" w14:textId="77777777" w:rsidR="004E08CC" w:rsidRPr="00CB1460" w:rsidRDefault="004E08CC" w:rsidP="007469C9">
      <w:pPr>
        <w:jc w:val="center"/>
        <w:rPr>
          <w:rFonts w:asciiTheme="minorHAnsi" w:hAnsiTheme="minorHAnsi"/>
          <w:i/>
          <w:sz w:val="8"/>
          <w:szCs w:val="8"/>
        </w:rPr>
      </w:pPr>
    </w:p>
    <w:p w14:paraId="4D7DCA40" w14:textId="77777777" w:rsidR="007469C9" w:rsidRPr="00CB1460" w:rsidRDefault="007469C9" w:rsidP="007469C9">
      <w:pPr>
        <w:jc w:val="center"/>
        <w:rPr>
          <w:rFonts w:asciiTheme="minorHAnsi" w:hAnsiTheme="minorHAnsi"/>
          <w:sz w:val="4"/>
          <w:szCs w:val="4"/>
        </w:rPr>
      </w:pPr>
    </w:p>
    <w:p w14:paraId="6DC4E931" w14:textId="77777777" w:rsidR="007469C9" w:rsidRPr="00CB1460" w:rsidRDefault="007469C9" w:rsidP="007469C9">
      <w:pPr>
        <w:pStyle w:val="ListParagraph"/>
        <w:ind w:left="1440" w:firstLine="720"/>
        <w:rPr>
          <w:sz w:val="28"/>
          <w:szCs w:val="28"/>
        </w:rPr>
      </w:pPr>
      <w:r w:rsidRPr="00CB1460">
        <w:rPr>
          <w:sz w:val="28"/>
          <w:szCs w:val="28"/>
        </w:rPr>
        <w:t>-- Reassessing the "Great" Recession and its "Fix"</w:t>
      </w:r>
    </w:p>
    <w:p w14:paraId="1CDE74F2" w14:textId="77777777" w:rsidR="007469C9" w:rsidRPr="00CB1460" w:rsidRDefault="007469C9" w:rsidP="00AF16D7">
      <w:pPr>
        <w:rPr>
          <w:rFonts w:asciiTheme="minorHAnsi" w:hAnsiTheme="minorHAnsi"/>
          <w:sz w:val="26"/>
          <w:szCs w:val="26"/>
        </w:rPr>
      </w:pPr>
    </w:p>
    <w:p w14:paraId="1D3935B1" w14:textId="77777777" w:rsidR="007469C9" w:rsidRPr="00CB1460" w:rsidRDefault="007469C9" w:rsidP="007469C9">
      <w:pPr>
        <w:jc w:val="center"/>
        <w:rPr>
          <w:rFonts w:asciiTheme="minorHAnsi" w:hAnsiTheme="minorHAnsi"/>
          <w:sz w:val="26"/>
          <w:szCs w:val="26"/>
        </w:rPr>
      </w:pPr>
    </w:p>
    <w:p w14:paraId="5A94267C" w14:textId="48B54303" w:rsidR="005A4765" w:rsidRPr="00CB1460" w:rsidRDefault="00A968B8" w:rsidP="007469C9">
      <w:pPr>
        <w:jc w:val="center"/>
        <w:rPr>
          <w:rFonts w:asciiTheme="minorHAnsi" w:hAnsiTheme="minorHAnsi"/>
          <w:sz w:val="28"/>
          <w:szCs w:val="28"/>
        </w:rPr>
      </w:pPr>
      <w:r w:rsidRPr="00CB1460">
        <w:rPr>
          <w:rFonts w:asciiTheme="minorHAnsi" w:hAnsiTheme="minorHAnsi"/>
          <w:sz w:val="28"/>
          <w:szCs w:val="28"/>
        </w:rPr>
        <w:t>Laurence Kotlikoff</w:t>
      </w:r>
    </w:p>
    <w:p w14:paraId="0095505F" w14:textId="0952D772" w:rsidR="005A4765" w:rsidRPr="00CB1460" w:rsidRDefault="00A968B8" w:rsidP="007469C9">
      <w:pPr>
        <w:jc w:val="center"/>
        <w:rPr>
          <w:rFonts w:asciiTheme="minorHAnsi" w:hAnsiTheme="minorHAnsi"/>
        </w:rPr>
      </w:pPr>
      <w:r w:rsidRPr="00CB1460">
        <w:rPr>
          <w:rFonts w:asciiTheme="minorHAnsi" w:hAnsiTheme="minorHAnsi"/>
        </w:rPr>
        <w:t>Boston University</w:t>
      </w:r>
    </w:p>
    <w:p w14:paraId="6F5C8D6A" w14:textId="77777777" w:rsidR="007469C9" w:rsidRPr="00CB1460" w:rsidRDefault="007469C9" w:rsidP="00AF16D7">
      <w:pPr>
        <w:rPr>
          <w:rFonts w:asciiTheme="minorHAnsi" w:hAnsiTheme="minorHAnsi"/>
        </w:rPr>
      </w:pPr>
    </w:p>
    <w:p w14:paraId="1BF3C099" w14:textId="209E1C0F" w:rsidR="00554E0E" w:rsidRPr="00CB1460" w:rsidRDefault="005413CE" w:rsidP="007469C9">
      <w:pPr>
        <w:jc w:val="center"/>
        <w:rPr>
          <w:rFonts w:asciiTheme="minorHAnsi" w:hAnsiTheme="minorHAnsi"/>
        </w:rPr>
      </w:pPr>
      <w:r w:rsidRPr="00CB1460">
        <w:rPr>
          <w:rFonts w:asciiTheme="minorHAnsi" w:hAnsiTheme="minorHAnsi"/>
        </w:rPr>
        <w:t>October</w:t>
      </w:r>
      <w:r w:rsidR="00554E0E" w:rsidRPr="00CB1460">
        <w:rPr>
          <w:rFonts w:asciiTheme="minorHAnsi" w:hAnsiTheme="minorHAnsi"/>
        </w:rPr>
        <w:t xml:space="preserve"> 2018</w:t>
      </w:r>
    </w:p>
    <w:p w14:paraId="4EC06011" w14:textId="77777777" w:rsidR="00AF16D7" w:rsidRPr="00CB1460" w:rsidRDefault="00AF16D7" w:rsidP="001C2D95">
      <w:pPr>
        <w:rPr>
          <w:rFonts w:asciiTheme="minorHAnsi" w:hAnsiTheme="minorHAnsi"/>
        </w:rPr>
      </w:pPr>
    </w:p>
    <w:p w14:paraId="2634E6B7" w14:textId="77777777" w:rsidR="002220AF" w:rsidRPr="00CB1460" w:rsidRDefault="002220AF" w:rsidP="001C2D95">
      <w:pPr>
        <w:rPr>
          <w:rFonts w:asciiTheme="minorHAnsi" w:hAnsiTheme="minorHAnsi"/>
          <w:sz w:val="28"/>
          <w:szCs w:val="28"/>
        </w:rPr>
      </w:pPr>
    </w:p>
    <w:p w14:paraId="26516BEA" w14:textId="1D2C734D" w:rsidR="002220AF" w:rsidRPr="00CB1460" w:rsidRDefault="002220AF" w:rsidP="002220AF">
      <w:pPr>
        <w:jc w:val="center"/>
        <w:rPr>
          <w:rFonts w:asciiTheme="minorHAnsi" w:hAnsiTheme="minorHAnsi"/>
          <w:sz w:val="28"/>
          <w:szCs w:val="28"/>
        </w:rPr>
      </w:pPr>
      <w:r w:rsidRPr="00CB1460">
        <w:rPr>
          <w:rFonts w:asciiTheme="minorHAnsi" w:hAnsiTheme="minorHAnsi"/>
          <w:sz w:val="28"/>
          <w:szCs w:val="28"/>
        </w:rPr>
        <w:t>Abstract</w:t>
      </w:r>
    </w:p>
    <w:p w14:paraId="1CA5BC10" w14:textId="77777777" w:rsidR="002220AF" w:rsidRPr="00CB1460" w:rsidRDefault="002220AF" w:rsidP="002220AF">
      <w:pPr>
        <w:jc w:val="center"/>
        <w:rPr>
          <w:rFonts w:asciiTheme="minorHAnsi" w:hAnsiTheme="minorHAnsi"/>
          <w:sz w:val="10"/>
          <w:szCs w:val="10"/>
        </w:rPr>
      </w:pPr>
    </w:p>
    <w:p w14:paraId="2A6AA819" w14:textId="66DF5324" w:rsidR="007B1DB2" w:rsidRPr="00CB1460" w:rsidRDefault="00BF2B02" w:rsidP="00340592">
      <w:pPr>
        <w:jc w:val="both"/>
        <w:rPr>
          <w:rFonts w:asciiTheme="minorHAnsi" w:hAnsiTheme="minorHAnsi"/>
        </w:rPr>
      </w:pPr>
      <w:r w:rsidRPr="00CB1460">
        <w:rPr>
          <w:rFonts w:asciiTheme="minorHAnsi" w:hAnsiTheme="minorHAnsi"/>
        </w:rPr>
        <w:t>Most e</w:t>
      </w:r>
      <w:r w:rsidR="002220AF" w:rsidRPr="00CB1460">
        <w:rPr>
          <w:rFonts w:asciiTheme="minorHAnsi" w:hAnsiTheme="minorHAnsi"/>
        </w:rPr>
        <w:t>conomists</w:t>
      </w:r>
      <w:r w:rsidRPr="00CB1460">
        <w:rPr>
          <w:rFonts w:asciiTheme="minorHAnsi" w:hAnsiTheme="minorHAnsi"/>
        </w:rPr>
        <w:t xml:space="preserve"> </w:t>
      </w:r>
      <w:r w:rsidR="000B5F56" w:rsidRPr="00CB1460">
        <w:rPr>
          <w:rFonts w:asciiTheme="minorHAnsi" w:hAnsiTheme="minorHAnsi"/>
        </w:rPr>
        <w:t>differ</w:t>
      </w:r>
      <w:r w:rsidR="00951EC0" w:rsidRPr="00CB1460">
        <w:rPr>
          <w:rFonts w:asciiTheme="minorHAnsi" w:hAnsiTheme="minorHAnsi"/>
        </w:rPr>
        <w:t>,</w:t>
      </w:r>
      <w:r w:rsidR="000B5F56" w:rsidRPr="00CB1460">
        <w:rPr>
          <w:rFonts w:asciiTheme="minorHAnsi" w:hAnsiTheme="minorHAnsi"/>
        </w:rPr>
        <w:t xml:space="preserve"> not</w:t>
      </w:r>
      <w:r w:rsidR="002220AF" w:rsidRPr="00CB1460">
        <w:rPr>
          <w:rFonts w:asciiTheme="minorHAnsi" w:hAnsiTheme="minorHAnsi"/>
        </w:rPr>
        <w:t xml:space="preserve"> </w:t>
      </w:r>
      <w:r w:rsidR="00775331" w:rsidRPr="00CB1460">
        <w:rPr>
          <w:rFonts w:asciiTheme="minorHAnsi" w:hAnsiTheme="minorHAnsi"/>
        </w:rPr>
        <w:t xml:space="preserve">on the causes of the Great Recession, but </w:t>
      </w:r>
      <w:r w:rsidR="008B0C19" w:rsidRPr="00CB1460">
        <w:rPr>
          <w:rFonts w:asciiTheme="minorHAnsi" w:hAnsiTheme="minorHAnsi"/>
        </w:rPr>
        <w:t xml:space="preserve">on </w:t>
      </w:r>
      <w:r w:rsidR="00775331" w:rsidRPr="00CB1460">
        <w:rPr>
          <w:rFonts w:asciiTheme="minorHAnsi" w:hAnsiTheme="minorHAnsi"/>
        </w:rPr>
        <w:t xml:space="preserve">their </w:t>
      </w:r>
      <w:r w:rsidR="00337FBC" w:rsidRPr="00CB1460">
        <w:rPr>
          <w:rFonts w:asciiTheme="minorHAnsi" w:hAnsiTheme="minorHAnsi"/>
        </w:rPr>
        <w:t xml:space="preserve">relative importance. </w:t>
      </w:r>
      <w:r w:rsidR="00951EC0" w:rsidRPr="00CB1460">
        <w:rPr>
          <w:rFonts w:asciiTheme="minorHAnsi" w:hAnsiTheme="minorHAnsi"/>
        </w:rPr>
        <w:t>T</w:t>
      </w:r>
      <w:r w:rsidR="00F44BBF" w:rsidRPr="00CB1460">
        <w:rPr>
          <w:rFonts w:asciiTheme="minorHAnsi" w:hAnsiTheme="minorHAnsi"/>
        </w:rPr>
        <w:t xml:space="preserve">hey </w:t>
      </w:r>
      <w:r w:rsidR="00EB5C48" w:rsidRPr="00CB1460">
        <w:rPr>
          <w:rFonts w:asciiTheme="minorHAnsi" w:hAnsiTheme="minorHAnsi"/>
        </w:rPr>
        <w:t>concur</w:t>
      </w:r>
      <w:r w:rsidR="00F10F43" w:rsidRPr="00CB1460">
        <w:rPr>
          <w:rFonts w:asciiTheme="minorHAnsi" w:hAnsiTheme="minorHAnsi"/>
        </w:rPr>
        <w:t>, though</w:t>
      </w:r>
      <w:r w:rsidR="00511422" w:rsidRPr="00CB1460">
        <w:rPr>
          <w:rFonts w:asciiTheme="minorHAnsi" w:hAnsiTheme="minorHAnsi"/>
        </w:rPr>
        <w:t>,</w:t>
      </w:r>
      <w:r w:rsidR="00EB5C48" w:rsidRPr="00CB1460">
        <w:rPr>
          <w:rFonts w:asciiTheme="minorHAnsi" w:hAnsiTheme="minorHAnsi"/>
        </w:rPr>
        <w:t xml:space="preserve"> on </w:t>
      </w:r>
      <w:r w:rsidR="000B5F56" w:rsidRPr="00CB1460">
        <w:rPr>
          <w:rFonts w:asciiTheme="minorHAnsi" w:hAnsiTheme="minorHAnsi"/>
        </w:rPr>
        <w:t>the</w:t>
      </w:r>
      <w:r w:rsidR="00DC1372" w:rsidRPr="00CB1460">
        <w:rPr>
          <w:rFonts w:asciiTheme="minorHAnsi" w:hAnsiTheme="minorHAnsi"/>
        </w:rPr>
        <w:t xml:space="preserve"> basic</w:t>
      </w:r>
      <w:r w:rsidR="0035259A" w:rsidRPr="00CB1460">
        <w:rPr>
          <w:rFonts w:asciiTheme="minorHAnsi" w:hAnsiTheme="minorHAnsi"/>
        </w:rPr>
        <w:t xml:space="preserve"> problem</w:t>
      </w:r>
      <w:r w:rsidR="00F80BBE" w:rsidRPr="00CB1460">
        <w:rPr>
          <w:rFonts w:asciiTheme="minorHAnsi" w:hAnsiTheme="minorHAnsi"/>
        </w:rPr>
        <w:t xml:space="preserve">, namely </w:t>
      </w:r>
      <w:r w:rsidR="004B005C" w:rsidRPr="00CB1460">
        <w:rPr>
          <w:rFonts w:asciiTheme="minorHAnsi" w:hAnsiTheme="minorHAnsi"/>
        </w:rPr>
        <w:t>human, not market failure</w:t>
      </w:r>
      <w:r w:rsidR="00DB6243" w:rsidRPr="00CB1460">
        <w:rPr>
          <w:rFonts w:asciiTheme="minorHAnsi" w:hAnsiTheme="minorHAnsi"/>
        </w:rPr>
        <w:t>.</w:t>
      </w:r>
      <w:r w:rsidRPr="00CB1460">
        <w:rPr>
          <w:rFonts w:asciiTheme="minorHAnsi" w:hAnsiTheme="minorHAnsi"/>
        </w:rPr>
        <w:t xml:space="preserve"> </w:t>
      </w:r>
      <w:r w:rsidR="002220AF" w:rsidRPr="00CB1460">
        <w:rPr>
          <w:rFonts w:asciiTheme="minorHAnsi" w:hAnsiTheme="minorHAnsi"/>
        </w:rPr>
        <w:t>This stu</w:t>
      </w:r>
      <w:r w:rsidR="00F70B29" w:rsidRPr="00CB1460">
        <w:rPr>
          <w:rFonts w:asciiTheme="minorHAnsi" w:hAnsiTheme="minorHAnsi"/>
        </w:rPr>
        <w:t>dy</w:t>
      </w:r>
      <w:r w:rsidR="004729A6" w:rsidRPr="00CB1460">
        <w:rPr>
          <w:rFonts w:asciiTheme="minorHAnsi" w:hAnsiTheme="minorHAnsi"/>
        </w:rPr>
        <w:t xml:space="preserve"> applies</w:t>
      </w:r>
      <w:r w:rsidR="004A0CC5" w:rsidRPr="00CB1460">
        <w:rPr>
          <w:rFonts w:asciiTheme="minorHAnsi" w:hAnsiTheme="minorHAnsi"/>
        </w:rPr>
        <w:t xml:space="preserve"> the e</w:t>
      </w:r>
      <w:r w:rsidR="004729A6" w:rsidRPr="00CB1460">
        <w:rPr>
          <w:rFonts w:asciiTheme="minorHAnsi" w:hAnsiTheme="minorHAnsi"/>
        </w:rPr>
        <w:t>vidence, some new, some old, to</w:t>
      </w:r>
      <w:r w:rsidR="002220AF" w:rsidRPr="00CB1460">
        <w:rPr>
          <w:rFonts w:asciiTheme="minorHAnsi" w:hAnsiTheme="minorHAnsi"/>
        </w:rPr>
        <w:t xml:space="preserve"> </w:t>
      </w:r>
      <w:r w:rsidR="00B07392" w:rsidRPr="00CB1460">
        <w:rPr>
          <w:rFonts w:asciiTheme="minorHAnsi" w:hAnsiTheme="minorHAnsi"/>
        </w:rPr>
        <w:t>re-</w:t>
      </w:r>
      <w:r w:rsidR="004729A6" w:rsidRPr="00CB1460">
        <w:rPr>
          <w:rFonts w:asciiTheme="minorHAnsi" w:hAnsiTheme="minorHAnsi"/>
        </w:rPr>
        <w:t>try</w:t>
      </w:r>
      <w:r w:rsidR="00B07392" w:rsidRPr="00CB1460">
        <w:rPr>
          <w:rFonts w:asciiTheme="minorHAnsi" w:hAnsiTheme="minorHAnsi"/>
        </w:rPr>
        <w:t xml:space="preserve"> </w:t>
      </w:r>
      <w:r w:rsidR="00F248E9" w:rsidRPr="00CB1460">
        <w:rPr>
          <w:rFonts w:asciiTheme="minorHAnsi" w:hAnsiTheme="minorHAnsi"/>
        </w:rPr>
        <w:t>the usual suspects</w:t>
      </w:r>
      <w:r w:rsidR="00225FDA" w:rsidRPr="00CB1460">
        <w:rPr>
          <w:rFonts w:asciiTheme="minorHAnsi" w:hAnsiTheme="minorHAnsi"/>
        </w:rPr>
        <w:t>. I</w:t>
      </w:r>
      <w:r w:rsidR="004729A6" w:rsidRPr="00CB1460">
        <w:rPr>
          <w:rFonts w:asciiTheme="minorHAnsi" w:hAnsiTheme="minorHAnsi"/>
        </w:rPr>
        <w:t xml:space="preserve">t </w:t>
      </w:r>
      <w:r w:rsidR="00B07392" w:rsidRPr="00CB1460">
        <w:rPr>
          <w:rFonts w:asciiTheme="minorHAnsi" w:hAnsiTheme="minorHAnsi"/>
        </w:rPr>
        <w:t>finds</w:t>
      </w:r>
      <w:r w:rsidR="008B6EB3" w:rsidRPr="00CB1460">
        <w:rPr>
          <w:rFonts w:asciiTheme="minorHAnsi" w:hAnsiTheme="minorHAnsi"/>
        </w:rPr>
        <w:t xml:space="preserve"> none </w:t>
      </w:r>
      <w:r w:rsidR="002220AF" w:rsidRPr="00CB1460">
        <w:rPr>
          <w:rFonts w:asciiTheme="minorHAnsi" w:hAnsiTheme="minorHAnsi"/>
        </w:rPr>
        <w:t xml:space="preserve">guilty. </w:t>
      </w:r>
      <w:r w:rsidR="00F658F8" w:rsidRPr="00CB1460">
        <w:rPr>
          <w:rFonts w:asciiTheme="minorHAnsi" w:hAnsiTheme="minorHAnsi"/>
        </w:rPr>
        <w:t xml:space="preserve">Instead, </w:t>
      </w:r>
      <w:r w:rsidR="008B6EB3" w:rsidRPr="00CB1460">
        <w:rPr>
          <w:rFonts w:asciiTheme="minorHAnsi" w:hAnsiTheme="minorHAnsi"/>
        </w:rPr>
        <w:t xml:space="preserve">it </w:t>
      </w:r>
      <w:r w:rsidR="009F034C" w:rsidRPr="00CB1460">
        <w:rPr>
          <w:rFonts w:asciiTheme="minorHAnsi" w:hAnsiTheme="minorHAnsi"/>
        </w:rPr>
        <w:t>identifies</w:t>
      </w:r>
      <w:r w:rsidR="00E56F94" w:rsidRPr="00CB1460">
        <w:rPr>
          <w:rFonts w:asciiTheme="minorHAnsi" w:hAnsiTheme="minorHAnsi"/>
        </w:rPr>
        <w:t xml:space="preserve"> </w:t>
      </w:r>
      <w:r w:rsidR="00F72E17">
        <w:rPr>
          <w:rFonts w:asciiTheme="minorHAnsi" w:hAnsiTheme="minorHAnsi"/>
        </w:rPr>
        <w:t xml:space="preserve">broadly defined </w:t>
      </w:r>
      <w:r w:rsidR="00EC5F84">
        <w:rPr>
          <w:rFonts w:asciiTheme="minorHAnsi" w:hAnsiTheme="minorHAnsi"/>
        </w:rPr>
        <w:t>multiple equilibrium</w:t>
      </w:r>
      <w:r w:rsidR="00F72E17">
        <w:rPr>
          <w:rFonts w:asciiTheme="minorHAnsi" w:hAnsiTheme="minorHAnsi"/>
        </w:rPr>
        <w:t xml:space="preserve">, </w:t>
      </w:r>
      <w:r w:rsidR="00A67A46">
        <w:rPr>
          <w:rFonts w:asciiTheme="minorHAnsi" w:hAnsiTheme="minorHAnsi"/>
        </w:rPr>
        <w:t>mediated by</w:t>
      </w:r>
      <w:r w:rsidR="00EC5F84">
        <w:rPr>
          <w:rFonts w:asciiTheme="minorHAnsi" w:hAnsiTheme="minorHAnsi"/>
        </w:rPr>
        <w:t xml:space="preserve"> </w:t>
      </w:r>
      <w:r w:rsidR="00A67A46">
        <w:rPr>
          <w:rFonts w:asciiTheme="minorHAnsi" w:hAnsiTheme="minorHAnsi"/>
        </w:rPr>
        <w:t xml:space="preserve">opacity, </w:t>
      </w:r>
      <w:r w:rsidR="008E2F40" w:rsidRPr="00CB1460">
        <w:rPr>
          <w:rFonts w:asciiTheme="minorHAnsi" w:hAnsiTheme="minorHAnsi"/>
        </w:rPr>
        <w:t>false rumors</w:t>
      </w:r>
      <w:r w:rsidR="00A67A46">
        <w:rPr>
          <w:rFonts w:asciiTheme="minorHAnsi" w:hAnsiTheme="minorHAnsi"/>
        </w:rPr>
        <w:t xml:space="preserve">, and </w:t>
      </w:r>
      <w:r w:rsidR="008E2F40" w:rsidRPr="00CB1460">
        <w:rPr>
          <w:rFonts w:asciiTheme="minorHAnsi" w:hAnsiTheme="minorHAnsi"/>
        </w:rPr>
        <w:t>panic</w:t>
      </w:r>
      <w:r w:rsidR="00A67A46">
        <w:rPr>
          <w:rFonts w:asciiTheme="minorHAnsi" w:hAnsiTheme="minorHAnsi"/>
        </w:rPr>
        <w:t>,</w:t>
      </w:r>
      <w:r w:rsidR="008E2F40" w:rsidRPr="00CB1460">
        <w:rPr>
          <w:rFonts w:asciiTheme="minorHAnsi" w:hAnsiTheme="minorHAnsi"/>
        </w:rPr>
        <w:t xml:space="preserve"> the real culprit. </w:t>
      </w:r>
      <w:r w:rsidR="00A67A46">
        <w:rPr>
          <w:rFonts w:asciiTheme="minorHAnsi" w:hAnsiTheme="minorHAnsi"/>
        </w:rPr>
        <w:t xml:space="preserve">There are many models of bank runs. But all </w:t>
      </w:r>
      <w:r w:rsidR="00527864" w:rsidRPr="00CB1460">
        <w:rPr>
          <w:rFonts w:asciiTheme="minorHAnsi" w:hAnsiTheme="minorHAnsi"/>
        </w:rPr>
        <w:t>can trigger</w:t>
      </w:r>
      <w:r w:rsidR="00887429" w:rsidRPr="00CB1460">
        <w:rPr>
          <w:rFonts w:asciiTheme="minorHAnsi" w:hAnsiTheme="minorHAnsi"/>
        </w:rPr>
        <w:t xml:space="preserve"> </w:t>
      </w:r>
      <w:r w:rsidR="00B446C8" w:rsidRPr="00CB1460">
        <w:rPr>
          <w:rFonts w:asciiTheme="minorHAnsi" w:hAnsiTheme="minorHAnsi"/>
        </w:rPr>
        <w:t>firing</w:t>
      </w:r>
      <w:r w:rsidR="00F55017" w:rsidRPr="00CB1460">
        <w:rPr>
          <w:rFonts w:asciiTheme="minorHAnsi" w:hAnsiTheme="minorHAnsi"/>
        </w:rPr>
        <w:t xml:space="preserve"> runs –</w:t>
      </w:r>
      <w:r w:rsidR="00CD0873" w:rsidRPr="00CB1460">
        <w:rPr>
          <w:rFonts w:asciiTheme="minorHAnsi" w:hAnsiTheme="minorHAnsi"/>
        </w:rPr>
        <w:t xml:space="preserve"> </w:t>
      </w:r>
      <w:r w:rsidR="00B446C8" w:rsidRPr="00CB1460">
        <w:rPr>
          <w:rFonts w:asciiTheme="minorHAnsi" w:hAnsiTheme="minorHAnsi"/>
        </w:rPr>
        <w:t xml:space="preserve">firing someone else’s customers for fear that others are firing your customers. </w:t>
      </w:r>
      <w:r w:rsidR="00743BD2" w:rsidRPr="00CB1460">
        <w:rPr>
          <w:rFonts w:asciiTheme="minorHAnsi" w:hAnsiTheme="minorHAnsi"/>
        </w:rPr>
        <w:t xml:space="preserve">Firing </w:t>
      </w:r>
      <w:r w:rsidR="000C04D4" w:rsidRPr="00CB1460">
        <w:rPr>
          <w:rFonts w:asciiTheme="minorHAnsi" w:hAnsiTheme="minorHAnsi"/>
        </w:rPr>
        <w:t>runs</w:t>
      </w:r>
      <w:r w:rsidR="00E03675">
        <w:rPr>
          <w:rFonts w:asciiTheme="minorHAnsi" w:hAnsiTheme="minorHAnsi"/>
        </w:rPr>
        <w:t>, in turn,</w:t>
      </w:r>
      <w:r w:rsidR="00743BD2" w:rsidRPr="00CB1460">
        <w:rPr>
          <w:rFonts w:asciiTheme="minorHAnsi" w:hAnsiTheme="minorHAnsi"/>
        </w:rPr>
        <w:t xml:space="preserve"> exacerbate</w:t>
      </w:r>
      <w:r w:rsidR="00887429" w:rsidRPr="00CB1460">
        <w:rPr>
          <w:rFonts w:asciiTheme="minorHAnsi" w:hAnsiTheme="minorHAnsi"/>
        </w:rPr>
        <w:t xml:space="preserve"> </w:t>
      </w:r>
      <w:r w:rsidR="000C04D4" w:rsidRPr="00CB1460">
        <w:rPr>
          <w:rFonts w:asciiTheme="minorHAnsi" w:hAnsiTheme="minorHAnsi"/>
        </w:rPr>
        <w:t>bank runs</w:t>
      </w:r>
      <w:r w:rsidR="006D470B" w:rsidRPr="00CB1460">
        <w:rPr>
          <w:rFonts w:asciiTheme="minorHAnsi" w:hAnsiTheme="minorHAnsi"/>
        </w:rPr>
        <w:t>, producing</w:t>
      </w:r>
      <w:r w:rsidR="0095291B" w:rsidRPr="00CB1460">
        <w:rPr>
          <w:rFonts w:asciiTheme="minorHAnsi" w:hAnsiTheme="minorHAnsi"/>
        </w:rPr>
        <w:t xml:space="preserve"> </w:t>
      </w:r>
      <w:r w:rsidR="001279A1" w:rsidRPr="00CB1460">
        <w:rPr>
          <w:rFonts w:asciiTheme="minorHAnsi" w:hAnsiTheme="minorHAnsi"/>
        </w:rPr>
        <w:t>a vicious cycle</w:t>
      </w:r>
      <w:r w:rsidR="000C04D4" w:rsidRPr="00CB1460">
        <w:rPr>
          <w:rFonts w:asciiTheme="minorHAnsi" w:hAnsiTheme="minorHAnsi"/>
        </w:rPr>
        <w:t xml:space="preserve">. </w:t>
      </w:r>
      <w:r w:rsidR="00747684">
        <w:rPr>
          <w:rFonts w:asciiTheme="minorHAnsi" w:hAnsiTheme="minorHAnsi"/>
        </w:rPr>
        <w:t xml:space="preserve">This cycle is exacerbated by </w:t>
      </w:r>
      <w:r w:rsidR="00B96851">
        <w:rPr>
          <w:rFonts w:asciiTheme="minorHAnsi" w:hAnsiTheme="minorHAnsi"/>
        </w:rPr>
        <w:t>those who benefit from</w:t>
      </w:r>
      <w:r w:rsidR="00747684">
        <w:rPr>
          <w:rFonts w:asciiTheme="minorHAnsi" w:hAnsiTheme="minorHAnsi"/>
        </w:rPr>
        <w:t xml:space="preserve"> economic distress. </w:t>
      </w:r>
      <w:r w:rsidR="00B96851">
        <w:rPr>
          <w:rFonts w:asciiTheme="minorHAnsi" w:hAnsiTheme="minorHAnsi"/>
        </w:rPr>
        <w:t xml:space="preserve">If the banking system, not the banking players is the problem, the solution surely lies with fundamental </w:t>
      </w:r>
      <w:r w:rsidR="00D25D66" w:rsidRPr="00CB1460">
        <w:rPr>
          <w:rFonts w:asciiTheme="minorHAnsi" w:hAnsiTheme="minorHAnsi"/>
        </w:rPr>
        <w:t>banking reform.</w:t>
      </w:r>
      <w:r w:rsidR="00722190" w:rsidRPr="00CB1460">
        <w:rPr>
          <w:rFonts w:asciiTheme="minorHAnsi" w:hAnsiTheme="minorHAnsi"/>
        </w:rPr>
        <w:t xml:space="preserve"> </w:t>
      </w:r>
      <w:r w:rsidR="00D309D2">
        <w:rPr>
          <w:rFonts w:asciiTheme="minorHAnsi" w:hAnsiTheme="minorHAnsi"/>
        </w:rPr>
        <w:t>This paper briefly considers</w:t>
      </w:r>
      <w:r w:rsidR="001044AE" w:rsidRPr="00CB1460">
        <w:rPr>
          <w:rFonts w:asciiTheme="minorHAnsi" w:hAnsiTheme="minorHAnsi"/>
        </w:rPr>
        <w:t xml:space="preserve"> </w:t>
      </w:r>
      <w:r w:rsidR="00722190" w:rsidRPr="00CB1460">
        <w:rPr>
          <w:rFonts w:asciiTheme="minorHAnsi" w:hAnsiTheme="minorHAnsi"/>
        </w:rPr>
        <w:t xml:space="preserve">one </w:t>
      </w:r>
      <w:r w:rsidR="00B96851">
        <w:rPr>
          <w:rFonts w:asciiTheme="minorHAnsi" w:hAnsiTheme="minorHAnsi"/>
        </w:rPr>
        <w:t xml:space="preserve">such reform </w:t>
      </w:r>
      <w:r w:rsidR="00970026" w:rsidRPr="00CB1460">
        <w:rPr>
          <w:rFonts w:asciiTheme="minorHAnsi" w:hAnsiTheme="minorHAnsi"/>
        </w:rPr>
        <w:t>– Limited Purpose Banking (L</w:t>
      </w:r>
      <w:r w:rsidR="00EE6B8C">
        <w:rPr>
          <w:rFonts w:asciiTheme="minorHAnsi" w:hAnsiTheme="minorHAnsi"/>
        </w:rPr>
        <w:t xml:space="preserve">PB) – and contrasts it with Dodd-Frank. </w:t>
      </w:r>
      <w:r w:rsidR="00970026" w:rsidRPr="00CB1460">
        <w:rPr>
          <w:rFonts w:asciiTheme="minorHAnsi" w:hAnsiTheme="minorHAnsi"/>
        </w:rPr>
        <w:t xml:space="preserve">LPB </w:t>
      </w:r>
      <w:r w:rsidR="00D309D2">
        <w:rPr>
          <w:rFonts w:asciiTheme="minorHAnsi" w:hAnsiTheme="minorHAnsi"/>
        </w:rPr>
        <w:t xml:space="preserve">entails a </w:t>
      </w:r>
      <w:r w:rsidR="005413CE" w:rsidRPr="00CB1460">
        <w:rPr>
          <w:rFonts w:asciiTheme="minorHAnsi" w:hAnsiTheme="minorHAnsi"/>
        </w:rPr>
        <w:t xml:space="preserve">gradual </w:t>
      </w:r>
      <w:r w:rsidR="00722190" w:rsidRPr="00CB1460">
        <w:rPr>
          <w:rFonts w:asciiTheme="minorHAnsi" w:hAnsiTheme="minorHAnsi"/>
        </w:rPr>
        <w:t xml:space="preserve">transition </w:t>
      </w:r>
      <w:r w:rsidR="005413CE" w:rsidRPr="00CB1460">
        <w:rPr>
          <w:rFonts w:asciiTheme="minorHAnsi" w:hAnsiTheme="minorHAnsi"/>
        </w:rPr>
        <w:t>to 100</w:t>
      </w:r>
      <w:r w:rsidR="00DC2FCE" w:rsidRPr="00CB1460">
        <w:rPr>
          <w:rFonts w:asciiTheme="minorHAnsi" w:hAnsiTheme="minorHAnsi"/>
        </w:rPr>
        <w:t xml:space="preserve"> percent</w:t>
      </w:r>
      <w:r w:rsidR="00722190" w:rsidRPr="00CB1460">
        <w:rPr>
          <w:rFonts w:asciiTheme="minorHAnsi" w:hAnsiTheme="minorHAnsi"/>
        </w:rPr>
        <w:t>,</w:t>
      </w:r>
      <w:r w:rsidR="00DC2FCE" w:rsidRPr="00CB1460">
        <w:rPr>
          <w:rFonts w:asciiTheme="minorHAnsi" w:hAnsiTheme="minorHAnsi"/>
        </w:rPr>
        <w:t xml:space="preserve"> equity-financed</w:t>
      </w:r>
      <w:r w:rsidR="003C77B4" w:rsidRPr="00CB1460">
        <w:rPr>
          <w:rFonts w:asciiTheme="minorHAnsi" w:hAnsiTheme="minorHAnsi"/>
        </w:rPr>
        <w:t>,</w:t>
      </w:r>
      <w:r w:rsidR="00DC2FCE" w:rsidRPr="00CB1460">
        <w:rPr>
          <w:rFonts w:asciiTheme="minorHAnsi" w:hAnsiTheme="minorHAnsi"/>
        </w:rPr>
        <w:t xml:space="preserve"> mutual-fund banking with government-</w:t>
      </w:r>
      <w:r w:rsidR="005413CE" w:rsidRPr="00CB1460">
        <w:rPr>
          <w:rFonts w:asciiTheme="minorHAnsi" w:hAnsiTheme="minorHAnsi"/>
        </w:rPr>
        <w:t>organized</w:t>
      </w:r>
      <w:r w:rsidR="00DC2FCE" w:rsidRPr="00CB1460">
        <w:rPr>
          <w:rFonts w:asciiTheme="minorHAnsi" w:hAnsiTheme="minorHAnsi"/>
        </w:rPr>
        <w:t xml:space="preserve">, real-time asset </w:t>
      </w:r>
      <w:r w:rsidR="005413CE" w:rsidRPr="00CB1460">
        <w:rPr>
          <w:rFonts w:asciiTheme="minorHAnsi" w:hAnsiTheme="minorHAnsi"/>
        </w:rPr>
        <w:t>verification and disclo</w:t>
      </w:r>
      <w:r w:rsidR="00DC2FCE" w:rsidRPr="00CB1460">
        <w:rPr>
          <w:rFonts w:asciiTheme="minorHAnsi" w:hAnsiTheme="minorHAnsi"/>
        </w:rPr>
        <w:t>sure</w:t>
      </w:r>
      <w:r w:rsidR="00687586" w:rsidRPr="00CB1460">
        <w:rPr>
          <w:rFonts w:asciiTheme="minorHAnsi" w:hAnsiTheme="minorHAnsi"/>
        </w:rPr>
        <w:t>.</w:t>
      </w:r>
      <w:r w:rsidR="005413CE" w:rsidRPr="00CB1460">
        <w:rPr>
          <w:rFonts w:asciiTheme="minorHAnsi" w:hAnsiTheme="minorHAnsi"/>
        </w:rPr>
        <w:t xml:space="preserve"> </w:t>
      </w:r>
      <w:r w:rsidR="004662F7">
        <w:rPr>
          <w:rFonts w:asciiTheme="minorHAnsi" w:hAnsiTheme="minorHAnsi"/>
        </w:rPr>
        <w:t>LPB precludes</w:t>
      </w:r>
      <w:r w:rsidR="00A03E11">
        <w:rPr>
          <w:rFonts w:asciiTheme="minorHAnsi" w:hAnsiTheme="minorHAnsi"/>
        </w:rPr>
        <w:t xml:space="preserve"> financial runs</w:t>
      </w:r>
      <w:r w:rsidR="002E6B4E">
        <w:rPr>
          <w:rFonts w:asciiTheme="minorHAnsi" w:hAnsiTheme="minorHAnsi"/>
        </w:rPr>
        <w:t xml:space="preserve"> </w:t>
      </w:r>
      <w:r w:rsidR="00A03E11">
        <w:rPr>
          <w:rFonts w:asciiTheme="minorHAnsi" w:hAnsiTheme="minorHAnsi"/>
        </w:rPr>
        <w:t xml:space="preserve">and their ability to induce firing runs.  </w:t>
      </w:r>
    </w:p>
    <w:p w14:paraId="5EE0C790" w14:textId="77777777" w:rsidR="005D1DBE" w:rsidRPr="00CB1460" w:rsidRDefault="005D1DBE" w:rsidP="00340592">
      <w:pPr>
        <w:jc w:val="both"/>
        <w:rPr>
          <w:rFonts w:asciiTheme="minorHAnsi" w:hAnsiTheme="minorHAnsi"/>
        </w:rPr>
      </w:pPr>
    </w:p>
    <w:p w14:paraId="24D9E525" w14:textId="77777777" w:rsidR="00AF16D7" w:rsidRPr="00CB1460" w:rsidRDefault="005413CE" w:rsidP="00AF16D7">
      <w:pPr>
        <w:jc w:val="both"/>
        <w:rPr>
          <w:rFonts w:asciiTheme="minorHAnsi" w:hAnsiTheme="minorHAnsi" w:cs="Arial"/>
        </w:rPr>
      </w:pPr>
      <w:r w:rsidRPr="00CB1460">
        <w:rPr>
          <w:rFonts w:asciiTheme="minorHAnsi" w:hAnsiTheme="minorHAnsi"/>
        </w:rPr>
        <w:t>I thank Boston U</w:t>
      </w:r>
      <w:r w:rsidR="00F06D47" w:rsidRPr="00CB1460">
        <w:rPr>
          <w:rFonts w:asciiTheme="minorHAnsi" w:hAnsiTheme="minorHAnsi"/>
        </w:rPr>
        <w:t xml:space="preserve">niversity for research support. </w:t>
      </w:r>
      <w:r w:rsidR="00D0106E" w:rsidRPr="00CB1460">
        <w:rPr>
          <w:rFonts w:asciiTheme="minorHAnsi" w:hAnsiTheme="minorHAnsi"/>
        </w:rPr>
        <w:t>This article is f</w:t>
      </w:r>
      <w:r w:rsidR="00F06D47" w:rsidRPr="00CB1460">
        <w:rPr>
          <w:rFonts w:asciiTheme="minorHAnsi" w:hAnsiTheme="minorHAnsi"/>
        </w:rPr>
        <w:t>orthcoming in</w:t>
      </w:r>
      <w:r w:rsidR="00F06D47" w:rsidRPr="00CB1460">
        <w:rPr>
          <w:rFonts w:asciiTheme="minorHAnsi" w:hAnsiTheme="minorHAnsi" w:cs="Arial"/>
        </w:rPr>
        <w:t xml:space="preserve"> </w:t>
      </w:r>
      <w:r w:rsidR="00F06D47" w:rsidRPr="00CB1460">
        <w:rPr>
          <w:rFonts w:asciiTheme="minorHAnsi" w:hAnsiTheme="minorHAnsi" w:cs="Arial"/>
          <w:i/>
        </w:rPr>
        <w:t>Ten Years After the 2008 International Financial Crisis</w:t>
      </w:r>
      <w:r w:rsidR="006940A1" w:rsidRPr="00CB1460">
        <w:rPr>
          <w:rFonts w:asciiTheme="minorHAnsi" w:hAnsiTheme="minorHAnsi" w:cs="Arial"/>
        </w:rPr>
        <w:t>, a s</w:t>
      </w:r>
      <w:r w:rsidR="00F06D47" w:rsidRPr="00CB1460">
        <w:rPr>
          <w:rFonts w:asciiTheme="minorHAnsi" w:hAnsiTheme="minorHAnsi" w:cs="Arial"/>
        </w:rPr>
        <w:t>pecial Issue of Octa Oeconomica, Peter Mihályi</w:t>
      </w:r>
      <w:r w:rsidR="006940A1" w:rsidRPr="00CB1460">
        <w:rPr>
          <w:rFonts w:asciiTheme="minorHAnsi" w:hAnsiTheme="minorHAnsi" w:cs="Arial"/>
        </w:rPr>
        <w:t>, ed.</w:t>
      </w:r>
      <w:r w:rsidR="00F06D47" w:rsidRPr="00CB1460">
        <w:rPr>
          <w:rFonts w:asciiTheme="minorHAnsi" w:hAnsiTheme="minorHAnsi" w:cs="Arial"/>
        </w:rPr>
        <w:t xml:space="preserve"> 2019. </w:t>
      </w:r>
    </w:p>
    <w:p w14:paraId="50F8FBB6" w14:textId="77777777" w:rsidR="00AF16D7" w:rsidRPr="00CB1460" w:rsidRDefault="00AF16D7" w:rsidP="00AF16D7">
      <w:pPr>
        <w:jc w:val="both"/>
        <w:rPr>
          <w:rFonts w:asciiTheme="minorHAnsi" w:hAnsiTheme="minorHAnsi" w:cs="Arial"/>
        </w:rPr>
      </w:pPr>
    </w:p>
    <w:p w14:paraId="5FCCED9B" w14:textId="563882A6" w:rsidR="001C2D95" w:rsidRDefault="002220AF" w:rsidP="00AF16D7">
      <w:pPr>
        <w:jc w:val="both"/>
        <w:rPr>
          <w:rFonts w:asciiTheme="minorHAnsi" w:hAnsiTheme="minorHAnsi"/>
        </w:rPr>
      </w:pPr>
      <w:r w:rsidRPr="00CB1460">
        <w:rPr>
          <w:rFonts w:asciiTheme="minorHAnsi" w:hAnsiTheme="minorHAnsi"/>
        </w:rPr>
        <w:t>Key Wor</w:t>
      </w:r>
      <w:r w:rsidR="00210A99" w:rsidRPr="00CB1460">
        <w:rPr>
          <w:rFonts w:asciiTheme="minorHAnsi" w:hAnsiTheme="minorHAnsi"/>
        </w:rPr>
        <w:t>ds: The 2008 financial crisis, t</w:t>
      </w:r>
      <w:r w:rsidRPr="00CB1460">
        <w:rPr>
          <w:rFonts w:asciiTheme="minorHAnsi" w:hAnsiTheme="minorHAnsi"/>
        </w:rPr>
        <w:t xml:space="preserve">he Great Recession, Bear Stearns, Lehman Brothers, </w:t>
      </w:r>
      <w:r w:rsidR="00210A99" w:rsidRPr="00CB1460">
        <w:rPr>
          <w:rFonts w:asciiTheme="minorHAnsi" w:hAnsiTheme="minorHAnsi"/>
        </w:rPr>
        <w:t>leverage, subprime mortgages, banking run, Dodd-Frank.</w:t>
      </w:r>
      <w:r w:rsidR="0029482F" w:rsidRPr="00CB1460">
        <w:rPr>
          <w:rFonts w:asciiTheme="minorHAnsi" w:hAnsiTheme="minorHAnsi"/>
        </w:rPr>
        <w:t xml:space="preserve">  </w:t>
      </w:r>
      <w:r w:rsidR="00052CED" w:rsidRPr="00CB1460">
        <w:rPr>
          <w:rFonts w:asciiTheme="minorHAnsi" w:hAnsiTheme="minorHAnsi"/>
        </w:rPr>
        <w:t xml:space="preserve">JEL Codes: </w:t>
      </w:r>
      <w:r w:rsidR="003E7AA9" w:rsidRPr="00CB1460">
        <w:rPr>
          <w:rFonts w:asciiTheme="minorHAnsi" w:hAnsiTheme="minorHAnsi"/>
        </w:rPr>
        <w:t>G01, G1, G2</w:t>
      </w:r>
    </w:p>
    <w:p w14:paraId="394377AE" w14:textId="77777777" w:rsidR="00DD75BA" w:rsidRDefault="00DD75BA" w:rsidP="00AF16D7">
      <w:pPr>
        <w:jc w:val="both"/>
        <w:rPr>
          <w:rFonts w:asciiTheme="minorHAnsi" w:hAnsiTheme="minorHAnsi"/>
        </w:rPr>
      </w:pPr>
    </w:p>
    <w:p w14:paraId="6C5319A9" w14:textId="77777777" w:rsidR="00DD75BA" w:rsidRDefault="00DD75BA" w:rsidP="00AF16D7">
      <w:pPr>
        <w:jc w:val="both"/>
        <w:rPr>
          <w:rFonts w:asciiTheme="minorHAnsi" w:hAnsiTheme="minorHAnsi"/>
          <w:i/>
        </w:rPr>
      </w:pPr>
    </w:p>
    <w:p w14:paraId="29422724" w14:textId="77777777" w:rsidR="00B96851" w:rsidRDefault="00B96851" w:rsidP="00AF16D7">
      <w:pPr>
        <w:jc w:val="both"/>
        <w:rPr>
          <w:rFonts w:asciiTheme="minorHAnsi" w:hAnsiTheme="minorHAnsi"/>
          <w:i/>
        </w:rPr>
      </w:pPr>
    </w:p>
    <w:p w14:paraId="69E44A98" w14:textId="77777777" w:rsidR="00B96851" w:rsidRDefault="00B96851" w:rsidP="00AF16D7">
      <w:pPr>
        <w:jc w:val="both"/>
        <w:rPr>
          <w:rFonts w:asciiTheme="minorHAnsi" w:hAnsiTheme="minorHAnsi"/>
          <w:i/>
        </w:rPr>
      </w:pPr>
    </w:p>
    <w:p w14:paraId="760EA419" w14:textId="77777777" w:rsidR="00B96851" w:rsidRPr="00CB1460" w:rsidRDefault="00B96851" w:rsidP="00AF16D7">
      <w:pPr>
        <w:jc w:val="both"/>
        <w:rPr>
          <w:rFonts w:asciiTheme="minorHAnsi" w:hAnsiTheme="minorHAnsi"/>
          <w:i/>
        </w:rPr>
      </w:pPr>
    </w:p>
    <w:p w14:paraId="1DD020B1" w14:textId="77777777" w:rsidR="00705144" w:rsidRPr="00CB1460" w:rsidRDefault="00705144" w:rsidP="001C2D95">
      <w:pPr>
        <w:rPr>
          <w:rFonts w:asciiTheme="minorHAnsi" w:hAnsiTheme="minorHAnsi"/>
        </w:rPr>
      </w:pPr>
    </w:p>
    <w:p w14:paraId="5EC52C35" w14:textId="12F5B50A" w:rsidR="00554E0E" w:rsidRPr="00CB1460" w:rsidRDefault="004E08CC" w:rsidP="004E08CC">
      <w:pPr>
        <w:rPr>
          <w:rFonts w:asciiTheme="minorHAnsi" w:hAnsiTheme="minorHAnsi"/>
          <w:b/>
        </w:rPr>
      </w:pPr>
      <w:r w:rsidRPr="00CB1460">
        <w:rPr>
          <w:rFonts w:asciiTheme="minorHAnsi" w:hAnsiTheme="minorHAnsi"/>
          <w:b/>
        </w:rPr>
        <w:t>Introduction</w:t>
      </w:r>
    </w:p>
    <w:p w14:paraId="38AF13A6" w14:textId="13478D9F" w:rsidR="00DD09CA" w:rsidRPr="00CB1460" w:rsidRDefault="005A4765" w:rsidP="00554E0E">
      <w:pPr>
        <w:jc w:val="both"/>
        <w:rPr>
          <w:rFonts w:asciiTheme="minorHAnsi" w:hAnsiTheme="minorHAnsi"/>
        </w:rPr>
      </w:pPr>
      <w:r w:rsidRPr="00CB1460">
        <w:rPr>
          <w:rFonts w:asciiTheme="minorHAnsi" w:hAnsiTheme="minorHAnsi"/>
        </w:rPr>
        <w:lastRenderedPageBreak/>
        <w:t>Ten years after</w:t>
      </w:r>
      <w:r w:rsidR="007D0C8F" w:rsidRPr="00CB1460">
        <w:rPr>
          <w:rFonts w:asciiTheme="minorHAnsi" w:hAnsiTheme="minorHAnsi"/>
        </w:rPr>
        <w:t xml:space="preserve"> </w:t>
      </w:r>
      <w:r w:rsidR="00B34897" w:rsidRPr="00CB1460">
        <w:rPr>
          <w:rFonts w:asciiTheme="minorHAnsi" w:hAnsiTheme="minorHAnsi"/>
        </w:rPr>
        <w:t>t</w:t>
      </w:r>
      <w:r w:rsidRPr="00CB1460">
        <w:rPr>
          <w:rFonts w:asciiTheme="minorHAnsi" w:hAnsiTheme="minorHAnsi"/>
        </w:rPr>
        <w:t>he Great Recession</w:t>
      </w:r>
      <w:r w:rsidR="00693A31" w:rsidRPr="00CB1460">
        <w:rPr>
          <w:rFonts w:asciiTheme="minorHAnsi" w:hAnsiTheme="minorHAnsi"/>
        </w:rPr>
        <w:t xml:space="preserve"> (GR)</w:t>
      </w:r>
      <w:r w:rsidRPr="00CB1460">
        <w:rPr>
          <w:rFonts w:asciiTheme="minorHAnsi" w:hAnsiTheme="minorHAnsi"/>
        </w:rPr>
        <w:t xml:space="preserve">, </w:t>
      </w:r>
      <w:r w:rsidR="00B93B08" w:rsidRPr="00CB1460">
        <w:rPr>
          <w:rFonts w:asciiTheme="minorHAnsi" w:hAnsiTheme="minorHAnsi"/>
        </w:rPr>
        <w:t>economists</w:t>
      </w:r>
      <w:r w:rsidR="006B19B3" w:rsidRPr="00CB1460">
        <w:rPr>
          <w:rFonts w:asciiTheme="minorHAnsi" w:hAnsiTheme="minorHAnsi"/>
        </w:rPr>
        <w:t xml:space="preserve"> still debate</w:t>
      </w:r>
      <w:r w:rsidR="007B6671" w:rsidRPr="00CB1460">
        <w:rPr>
          <w:rFonts w:asciiTheme="minorHAnsi" w:hAnsiTheme="minorHAnsi"/>
        </w:rPr>
        <w:t xml:space="preserve"> its cause</w:t>
      </w:r>
      <w:r w:rsidR="00DF7E9D" w:rsidRPr="00CB1460">
        <w:rPr>
          <w:rFonts w:asciiTheme="minorHAnsi" w:hAnsiTheme="minorHAnsi"/>
        </w:rPr>
        <w:t>s</w:t>
      </w:r>
      <w:r w:rsidR="007B6671" w:rsidRPr="00CB1460">
        <w:rPr>
          <w:rFonts w:asciiTheme="minorHAnsi" w:hAnsiTheme="minorHAnsi"/>
        </w:rPr>
        <w:t xml:space="preserve"> and</w:t>
      </w:r>
      <w:r w:rsidR="006B19B3" w:rsidRPr="00CB1460">
        <w:rPr>
          <w:rFonts w:asciiTheme="minorHAnsi" w:hAnsiTheme="minorHAnsi"/>
        </w:rPr>
        <w:t xml:space="preserve"> policymakers</w:t>
      </w:r>
      <w:r w:rsidR="006427EF" w:rsidRPr="00CB1460">
        <w:rPr>
          <w:rFonts w:asciiTheme="minorHAnsi" w:hAnsiTheme="minorHAnsi"/>
        </w:rPr>
        <w:t xml:space="preserve"> still wonder</w:t>
      </w:r>
      <w:r w:rsidR="007B6671" w:rsidRPr="00CB1460">
        <w:rPr>
          <w:rFonts w:asciiTheme="minorHAnsi" w:hAnsiTheme="minorHAnsi"/>
        </w:rPr>
        <w:t xml:space="preserve"> how to prevent </w:t>
      </w:r>
      <w:r w:rsidR="006B19B3" w:rsidRPr="00CB1460">
        <w:rPr>
          <w:rFonts w:asciiTheme="minorHAnsi" w:hAnsiTheme="minorHAnsi"/>
        </w:rPr>
        <w:t xml:space="preserve">the next </w:t>
      </w:r>
      <w:r w:rsidR="007B6671" w:rsidRPr="00CB1460">
        <w:rPr>
          <w:rFonts w:asciiTheme="minorHAnsi" w:hAnsiTheme="minorHAnsi"/>
        </w:rPr>
        <w:t xml:space="preserve">financial crisis. </w:t>
      </w:r>
      <w:r w:rsidR="000D5551" w:rsidRPr="00CB1460">
        <w:rPr>
          <w:rFonts w:asciiTheme="minorHAnsi" w:hAnsiTheme="minorHAnsi"/>
        </w:rPr>
        <w:t>MIT finance professor, Andrew Lo</w:t>
      </w:r>
      <w:r w:rsidR="006B19B3" w:rsidRPr="00CB1460">
        <w:rPr>
          <w:rFonts w:asciiTheme="minorHAnsi" w:hAnsiTheme="minorHAnsi"/>
        </w:rPr>
        <w:t xml:space="preserve"> (2012)</w:t>
      </w:r>
      <w:r w:rsidR="000D5551" w:rsidRPr="00CB1460">
        <w:rPr>
          <w:rFonts w:asciiTheme="minorHAnsi" w:hAnsiTheme="minorHAnsi"/>
        </w:rPr>
        <w:t>, reviewed 21 books on the financial crisis</w:t>
      </w:r>
      <w:r w:rsidR="00DF7E9D" w:rsidRPr="00CB1460">
        <w:rPr>
          <w:rFonts w:asciiTheme="minorHAnsi" w:hAnsiTheme="minorHAnsi"/>
        </w:rPr>
        <w:t xml:space="preserve"> by economists</w:t>
      </w:r>
      <w:r w:rsidR="006C2775" w:rsidRPr="00CB1460">
        <w:rPr>
          <w:rFonts w:asciiTheme="minorHAnsi" w:hAnsiTheme="minorHAnsi"/>
        </w:rPr>
        <w:t xml:space="preserve">, bankers and journalists. He </w:t>
      </w:r>
      <w:r w:rsidR="000D5551" w:rsidRPr="00CB1460">
        <w:rPr>
          <w:rFonts w:asciiTheme="minorHAnsi" w:hAnsiTheme="minorHAnsi"/>
        </w:rPr>
        <w:t>concluded that</w:t>
      </w:r>
      <w:r w:rsidR="007D2250" w:rsidRPr="00CB1460">
        <w:rPr>
          <w:rStyle w:val="FootnoteReference"/>
          <w:rFonts w:asciiTheme="minorHAnsi" w:hAnsiTheme="minorHAnsi"/>
        </w:rPr>
        <w:footnoteReference w:id="1"/>
      </w:r>
    </w:p>
    <w:p w14:paraId="7F05D35F" w14:textId="77777777" w:rsidR="00811B46" w:rsidRPr="00CB1460" w:rsidRDefault="00811B46" w:rsidP="00554E0E">
      <w:pPr>
        <w:jc w:val="both"/>
        <w:rPr>
          <w:rFonts w:asciiTheme="minorHAnsi" w:hAnsiTheme="minorHAnsi"/>
        </w:rPr>
      </w:pPr>
    </w:p>
    <w:p w14:paraId="432C5B76" w14:textId="3A22444A" w:rsidR="00811B46" w:rsidRPr="00CB1460" w:rsidRDefault="00811B46" w:rsidP="00811B46">
      <w:pPr>
        <w:ind w:left="288" w:right="288"/>
        <w:jc w:val="both"/>
        <w:rPr>
          <w:rFonts w:asciiTheme="minorHAnsi" w:eastAsia="Times New Roman" w:hAnsiTheme="minorHAnsi"/>
        </w:rPr>
      </w:pPr>
      <w:r w:rsidRPr="00CB1460">
        <w:rPr>
          <w:rFonts w:asciiTheme="minorHAnsi" w:eastAsia="Times New Roman" w:hAnsiTheme="minorHAnsi"/>
          <w:i/>
        </w:rPr>
        <w:t>…</w:t>
      </w:r>
      <w:r w:rsidR="006C2775" w:rsidRPr="00CB1460">
        <w:rPr>
          <w:rFonts w:asciiTheme="minorHAnsi" w:eastAsia="Times New Roman" w:hAnsiTheme="minorHAnsi"/>
          <w:i/>
        </w:rPr>
        <w:t xml:space="preserve"> (there is)</w:t>
      </w:r>
      <w:r w:rsidRPr="00CB1460">
        <w:rPr>
          <w:rFonts w:asciiTheme="minorHAnsi" w:eastAsia="Times New Roman" w:hAnsiTheme="minorHAnsi"/>
          <w:i/>
        </w:rPr>
        <w:t xml:space="preserve"> significant disagreement as to what the underlying causes of the crisis were and even less agreement as to what to do about it. But what may be more disconcerting for most economists is the fact that we can’t even agree on all the facts</w:t>
      </w:r>
      <w:r w:rsidRPr="00CB1460">
        <w:rPr>
          <w:rFonts w:asciiTheme="minorHAnsi" w:eastAsia="Times New Roman" w:hAnsiTheme="minorHAnsi"/>
        </w:rPr>
        <w:t xml:space="preserve">. </w:t>
      </w:r>
    </w:p>
    <w:p w14:paraId="1D8AD70E" w14:textId="77777777" w:rsidR="00811B46" w:rsidRPr="00CB1460" w:rsidRDefault="00811B46" w:rsidP="00811B46">
      <w:pPr>
        <w:ind w:left="288" w:right="288"/>
        <w:jc w:val="both"/>
        <w:rPr>
          <w:rFonts w:asciiTheme="minorHAnsi" w:hAnsiTheme="minorHAnsi"/>
        </w:rPr>
      </w:pPr>
    </w:p>
    <w:p w14:paraId="771D6728" w14:textId="4436151E" w:rsidR="009213A0" w:rsidRPr="002C098B" w:rsidRDefault="00705144" w:rsidP="00554E0E">
      <w:pPr>
        <w:jc w:val="both"/>
        <w:rPr>
          <w:rFonts w:asciiTheme="minorHAnsi" w:hAnsiTheme="minorHAnsi"/>
        </w:rPr>
      </w:pPr>
      <w:r w:rsidRPr="00CB1460">
        <w:rPr>
          <w:rFonts w:asciiTheme="minorHAnsi" w:hAnsiTheme="minorHAnsi"/>
        </w:rPr>
        <w:t xml:space="preserve">This paper </w:t>
      </w:r>
      <w:r w:rsidR="00C94A4E" w:rsidRPr="00CB1460">
        <w:rPr>
          <w:rFonts w:asciiTheme="minorHAnsi" w:hAnsiTheme="minorHAnsi"/>
        </w:rPr>
        <w:t>argue</w:t>
      </w:r>
      <w:r w:rsidRPr="00CB1460">
        <w:rPr>
          <w:rFonts w:asciiTheme="minorHAnsi" w:hAnsiTheme="minorHAnsi"/>
        </w:rPr>
        <w:t>s</w:t>
      </w:r>
      <w:r w:rsidR="002630B3" w:rsidRPr="00CB1460">
        <w:rPr>
          <w:rFonts w:asciiTheme="minorHAnsi" w:hAnsiTheme="minorHAnsi"/>
        </w:rPr>
        <w:t xml:space="preserve"> that the alleged causes</w:t>
      </w:r>
      <w:r w:rsidR="00C411A0" w:rsidRPr="00CB1460">
        <w:rPr>
          <w:rFonts w:asciiTheme="minorHAnsi" w:hAnsiTheme="minorHAnsi"/>
        </w:rPr>
        <w:t xml:space="preserve"> of the GR are </w:t>
      </w:r>
      <w:r w:rsidR="00AA452A" w:rsidRPr="00CB1460">
        <w:rPr>
          <w:rFonts w:asciiTheme="minorHAnsi" w:hAnsiTheme="minorHAnsi"/>
        </w:rPr>
        <w:t xml:space="preserve">either a) </w:t>
      </w:r>
      <w:r w:rsidR="00EA6FFD" w:rsidRPr="00CB1460">
        <w:rPr>
          <w:rFonts w:asciiTheme="minorHAnsi" w:hAnsiTheme="minorHAnsi"/>
        </w:rPr>
        <w:t xml:space="preserve">unsupported by the facts, b) disconnected from </w:t>
      </w:r>
      <w:r w:rsidR="00C411A0" w:rsidRPr="00CB1460">
        <w:rPr>
          <w:rFonts w:asciiTheme="minorHAnsi" w:hAnsiTheme="minorHAnsi"/>
        </w:rPr>
        <w:t>economic theory</w:t>
      </w:r>
      <w:r w:rsidR="009527C7" w:rsidRPr="00CB1460">
        <w:rPr>
          <w:rFonts w:asciiTheme="minorHAnsi" w:hAnsiTheme="minorHAnsi"/>
        </w:rPr>
        <w:t xml:space="preserve"> or</w:t>
      </w:r>
      <w:r w:rsidR="00C411A0" w:rsidRPr="00CB1460">
        <w:rPr>
          <w:rFonts w:asciiTheme="minorHAnsi" w:hAnsiTheme="minorHAnsi"/>
        </w:rPr>
        <w:t xml:space="preserve"> </w:t>
      </w:r>
      <w:r w:rsidR="00EA6FFD" w:rsidRPr="00CB1460">
        <w:rPr>
          <w:rFonts w:asciiTheme="minorHAnsi" w:hAnsiTheme="minorHAnsi"/>
        </w:rPr>
        <w:t>c</w:t>
      </w:r>
      <w:r w:rsidR="004E08CC" w:rsidRPr="00CB1460">
        <w:rPr>
          <w:rFonts w:asciiTheme="minorHAnsi" w:hAnsiTheme="minorHAnsi"/>
        </w:rPr>
        <w:t xml:space="preserve">) </w:t>
      </w:r>
      <w:r w:rsidR="00F42765" w:rsidRPr="00CB1460">
        <w:rPr>
          <w:rFonts w:asciiTheme="minorHAnsi" w:hAnsiTheme="minorHAnsi"/>
        </w:rPr>
        <w:t>descriptions of</w:t>
      </w:r>
      <w:r w:rsidR="00C411A0" w:rsidRPr="00CB1460">
        <w:rPr>
          <w:rFonts w:asciiTheme="minorHAnsi" w:hAnsiTheme="minorHAnsi"/>
        </w:rPr>
        <w:t xml:space="preserve"> GR outcomes, not </w:t>
      </w:r>
      <w:r w:rsidR="006C725E" w:rsidRPr="00CB1460">
        <w:rPr>
          <w:rFonts w:asciiTheme="minorHAnsi" w:hAnsiTheme="minorHAnsi"/>
        </w:rPr>
        <w:t xml:space="preserve">GR </w:t>
      </w:r>
      <w:r w:rsidR="00FB59FA" w:rsidRPr="00CB1460">
        <w:rPr>
          <w:rFonts w:asciiTheme="minorHAnsi" w:hAnsiTheme="minorHAnsi"/>
        </w:rPr>
        <w:t>causes</w:t>
      </w:r>
      <w:r w:rsidR="00AA4F1E" w:rsidRPr="00CB1460">
        <w:rPr>
          <w:rFonts w:asciiTheme="minorHAnsi" w:hAnsiTheme="minorHAnsi"/>
        </w:rPr>
        <w:t xml:space="preserve">. </w:t>
      </w:r>
      <w:r w:rsidR="002938B2" w:rsidRPr="00CB1460">
        <w:rPr>
          <w:rFonts w:asciiTheme="minorHAnsi" w:hAnsiTheme="minorHAnsi"/>
        </w:rPr>
        <w:t>Next</w:t>
      </w:r>
      <w:r w:rsidR="006E3A7A" w:rsidRPr="00CB1460">
        <w:rPr>
          <w:rFonts w:asciiTheme="minorHAnsi" w:hAnsiTheme="minorHAnsi"/>
        </w:rPr>
        <w:t>,</w:t>
      </w:r>
      <w:r w:rsidR="00F42765" w:rsidRPr="00CB1460">
        <w:rPr>
          <w:rFonts w:asciiTheme="minorHAnsi" w:hAnsiTheme="minorHAnsi"/>
        </w:rPr>
        <w:t xml:space="preserve"> it</w:t>
      </w:r>
      <w:r w:rsidR="002938B2" w:rsidRPr="00CB1460">
        <w:rPr>
          <w:rFonts w:asciiTheme="minorHAnsi" w:hAnsiTheme="minorHAnsi"/>
        </w:rPr>
        <w:t xml:space="preserve"> point</w:t>
      </w:r>
      <w:r w:rsidR="005A539D" w:rsidRPr="00CB1460">
        <w:rPr>
          <w:rFonts w:asciiTheme="minorHAnsi" w:hAnsiTheme="minorHAnsi"/>
        </w:rPr>
        <w:t>s</w:t>
      </w:r>
      <w:r w:rsidR="002938B2" w:rsidRPr="00CB1460">
        <w:rPr>
          <w:rFonts w:asciiTheme="minorHAnsi" w:hAnsiTheme="minorHAnsi"/>
        </w:rPr>
        <w:t xml:space="preserve"> out that the “Great” Recession was</w:t>
      </w:r>
      <w:r w:rsidR="006E3A7A" w:rsidRPr="00CB1460">
        <w:rPr>
          <w:rFonts w:asciiTheme="minorHAnsi" w:hAnsiTheme="minorHAnsi"/>
        </w:rPr>
        <w:t xml:space="preserve"> </w:t>
      </w:r>
      <w:r w:rsidR="002938B2" w:rsidRPr="00CB1460">
        <w:rPr>
          <w:rFonts w:asciiTheme="minorHAnsi" w:hAnsiTheme="minorHAnsi"/>
        </w:rPr>
        <w:t xml:space="preserve">not particularly </w:t>
      </w:r>
      <w:r w:rsidR="00F42765" w:rsidRPr="00CB1460">
        <w:rPr>
          <w:rFonts w:asciiTheme="minorHAnsi" w:hAnsiTheme="minorHAnsi"/>
        </w:rPr>
        <w:t>great</w:t>
      </w:r>
      <w:r w:rsidR="003F2D42" w:rsidRPr="00CB1460">
        <w:rPr>
          <w:rFonts w:asciiTheme="minorHAnsi" w:hAnsiTheme="minorHAnsi"/>
        </w:rPr>
        <w:t>, suggesting that its</w:t>
      </w:r>
      <w:r w:rsidR="005A539D" w:rsidRPr="00CB1460">
        <w:rPr>
          <w:rFonts w:asciiTheme="minorHAnsi" w:hAnsiTheme="minorHAnsi"/>
        </w:rPr>
        <w:t xml:space="preserve"> very</w:t>
      </w:r>
      <w:r w:rsidR="003F2D42" w:rsidRPr="00CB1460">
        <w:rPr>
          <w:rFonts w:asciiTheme="minorHAnsi" w:hAnsiTheme="minorHAnsi"/>
        </w:rPr>
        <w:t xml:space="preserve"> title</w:t>
      </w:r>
      <w:r w:rsidR="006E3A7A" w:rsidRPr="00CB1460">
        <w:rPr>
          <w:rFonts w:asciiTheme="minorHAnsi" w:hAnsiTheme="minorHAnsi"/>
        </w:rPr>
        <w:t xml:space="preserve"> is part of the </w:t>
      </w:r>
      <w:r w:rsidR="003F2D42" w:rsidRPr="00CB1460">
        <w:rPr>
          <w:rFonts w:asciiTheme="minorHAnsi" w:hAnsiTheme="minorHAnsi"/>
        </w:rPr>
        <w:t>recession</w:t>
      </w:r>
      <w:r w:rsidR="005157A7" w:rsidRPr="00CB1460">
        <w:rPr>
          <w:rFonts w:asciiTheme="minorHAnsi" w:hAnsiTheme="minorHAnsi"/>
        </w:rPr>
        <w:t>’s</w:t>
      </w:r>
      <w:r w:rsidR="003F2D42" w:rsidRPr="00CB1460">
        <w:rPr>
          <w:rFonts w:asciiTheme="minorHAnsi" w:hAnsiTheme="minorHAnsi"/>
        </w:rPr>
        <w:t xml:space="preserve"> self-generated hysteria</w:t>
      </w:r>
      <w:r w:rsidR="00913FE5" w:rsidRPr="00CB1460">
        <w:rPr>
          <w:rFonts w:asciiTheme="minorHAnsi" w:hAnsiTheme="minorHAnsi"/>
        </w:rPr>
        <w:t xml:space="preserve">. </w:t>
      </w:r>
      <w:r w:rsidR="00A830D9" w:rsidRPr="00CB1460">
        <w:rPr>
          <w:rFonts w:asciiTheme="minorHAnsi" w:hAnsiTheme="minorHAnsi"/>
        </w:rPr>
        <w:t>This debunking of the “big con”</w:t>
      </w:r>
      <w:r w:rsidR="005A539D" w:rsidRPr="00CB1460">
        <w:rPr>
          <w:rFonts w:asciiTheme="minorHAnsi" w:hAnsiTheme="minorHAnsi"/>
        </w:rPr>
        <w:t xml:space="preserve"> – the stan</w:t>
      </w:r>
      <w:r w:rsidR="00E3407B" w:rsidRPr="00CB1460">
        <w:rPr>
          <w:rFonts w:asciiTheme="minorHAnsi" w:hAnsiTheme="minorHAnsi"/>
        </w:rPr>
        <w:t>dard narrative of the GR and the</w:t>
      </w:r>
      <w:r w:rsidR="005A539D" w:rsidRPr="00CB1460">
        <w:rPr>
          <w:rFonts w:asciiTheme="minorHAnsi" w:hAnsiTheme="minorHAnsi"/>
        </w:rPr>
        <w:t xml:space="preserve"> alleged </w:t>
      </w:r>
      <w:r w:rsidR="00E3407B" w:rsidRPr="00CB1460">
        <w:rPr>
          <w:rFonts w:asciiTheme="minorHAnsi" w:hAnsiTheme="minorHAnsi"/>
        </w:rPr>
        <w:t xml:space="preserve">Dodd-Frank </w:t>
      </w:r>
      <w:r w:rsidR="005A539D" w:rsidRPr="00CB1460">
        <w:rPr>
          <w:rFonts w:asciiTheme="minorHAnsi" w:hAnsiTheme="minorHAnsi"/>
        </w:rPr>
        <w:t>fix --</w:t>
      </w:r>
      <w:r w:rsidR="00A830D9" w:rsidRPr="00CB1460">
        <w:rPr>
          <w:rFonts w:asciiTheme="minorHAnsi" w:hAnsiTheme="minorHAnsi"/>
        </w:rPr>
        <w:t xml:space="preserve"> is followed by an alternative and </w:t>
      </w:r>
      <w:r w:rsidR="0065668D" w:rsidRPr="00CB1460">
        <w:rPr>
          <w:rFonts w:asciiTheme="minorHAnsi" w:hAnsiTheme="minorHAnsi"/>
        </w:rPr>
        <w:t>seemingly</w:t>
      </w:r>
      <w:r w:rsidR="00E3407B" w:rsidRPr="00CB1460">
        <w:rPr>
          <w:rFonts w:asciiTheme="minorHAnsi" w:hAnsiTheme="minorHAnsi"/>
        </w:rPr>
        <w:t xml:space="preserve"> </w:t>
      </w:r>
      <w:r w:rsidR="00A830D9" w:rsidRPr="00CB1460">
        <w:rPr>
          <w:rFonts w:asciiTheme="minorHAnsi" w:hAnsiTheme="minorHAnsi"/>
        </w:rPr>
        <w:t>obvious view</w:t>
      </w:r>
      <w:r w:rsidR="005A539D" w:rsidRPr="00CB1460">
        <w:rPr>
          <w:rFonts w:asciiTheme="minorHAnsi" w:hAnsiTheme="minorHAnsi"/>
        </w:rPr>
        <w:t xml:space="preserve"> of</w:t>
      </w:r>
      <w:r w:rsidR="00BE03C9" w:rsidRPr="00CB1460">
        <w:rPr>
          <w:rFonts w:asciiTheme="minorHAnsi" w:hAnsiTheme="minorHAnsi"/>
        </w:rPr>
        <w:t xml:space="preserve"> what produced</w:t>
      </w:r>
      <w:r w:rsidR="009C022C" w:rsidRPr="00CB1460">
        <w:rPr>
          <w:rFonts w:asciiTheme="minorHAnsi" w:hAnsiTheme="minorHAnsi"/>
        </w:rPr>
        <w:t xml:space="preserve"> this</w:t>
      </w:r>
      <w:r w:rsidR="00360EBF" w:rsidRPr="00CB1460">
        <w:rPr>
          <w:rFonts w:asciiTheme="minorHAnsi" w:hAnsiTheme="minorHAnsi"/>
        </w:rPr>
        <w:t xml:space="preserve"> latest in a long history of </w:t>
      </w:r>
      <w:r w:rsidR="009C022C" w:rsidRPr="00CB1460">
        <w:rPr>
          <w:rFonts w:asciiTheme="minorHAnsi" w:hAnsiTheme="minorHAnsi"/>
        </w:rPr>
        <w:t>U.S. bank</w:t>
      </w:r>
      <w:r w:rsidR="00913FE5" w:rsidRPr="00CB1460">
        <w:rPr>
          <w:rFonts w:asciiTheme="minorHAnsi" w:hAnsiTheme="minorHAnsi"/>
        </w:rPr>
        <w:t>ing failures</w:t>
      </w:r>
      <w:r w:rsidR="00A830D9" w:rsidRPr="00CB1460">
        <w:rPr>
          <w:rFonts w:asciiTheme="minorHAnsi" w:hAnsiTheme="minorHAnsi"/>
        </w:rPr>
        <w:t xml:space="preserve"> and economic downturns</w:t>
      </w:r>
      <w:r w:rsidR="0065668D" w:rsidRPr="00CB1460">
        <w:rPr>
          <w:rFonts w:asciiTheme="minorHAnsi" w:hAnsiTheme="minorHAnsi"/>
        </w:rPr>
        <w:t xml:space="preserve"> – </w:t>
      </w:r>
      <w:r w:rsidR="0065668D" w:rsidRPr="00CB1460">
        <w:rPr>
          <w:rFonts w:asciiTheme="minorHAnsi" w:hAnsiTheme="minorHAnsi"/>
          <w:i/>
        </w:rPr>
        <w:t>pure</w:t>
      </w:r>
      <w:r w:rsidR="00A92E1F" w:rsidRPr="00CB1460">
        <w:rPr>
          <w:rFonts w:asciiTheme="minorHAnsi" w:hAnsiTheme="minorHAnsi"/>
          <w:i/>
        </w:rPr>
        <w:t>,</w:t>
      </w:r>
      <w:r w:rsidR="0065668D" w:rsidRPr="00CB1460">
        <w:rPr>
          <w:rFonts w:asciiTheme="minorHAnsi" w:hAnsiTheme="minorHAnsi"/>
          <w:i/>
        </w:rPr>
        <w:t xml:space="preserve"> </w:t>
      </w:r>
      <w:r w:rsidR="00A74491" w:rsidRPr="00CB1460">
        <w:rPr>
          <w:rFonts w:asciiTheme="minorHAnsi" w:hAnsiTheme="minorHAnsi"/>
          <w:i/>
        </w:rPr>
        <w:t xml:space="preserve">misinformed </w:t>
      </w:r>
      <w:r w:rsidR="0065668D" w:rsidRPr="00CB1460">
        <w:rPr>
          <w:rFonts w:asciiTheme="minorHAnsi" w:hAnsiTheme="minorHAnsi"/>
          <w:i/>
        </w:rPr>
        <w:t>panic</w:t>
      </w:r>
      <w:r w:rsidR="002C098B">
        <w:rPr>
          <w:rFonts w:asciiTheme="minorHAnsi" w:hAnsiTheme="minorHAnsi"/>
          <w:i/>
        </w:rPr>
        <w:t xml:space="preserve"> </w:t>
      </w:r>
      <w:r w:rsidR="002C098B">
        <w:rPr>
          <w:rFonts w:asciiTheme="minorHAnsi" w:hAnsiTheme="minorHAnsi"/>
        </w:rPr>
        <w:t>that flipped the economy’s equilibrium.</w:t>
      </w:r>
    </w:p>
    <w:p w14:paraId="62230B12" w14:textId="77777777" w:rsidR="00AA3722" w:rsidRPr="00CB1460" w:rsidRDefault="00AA3722" w:rsidP="00554E0E">
      <w:pPr>
        <w:jc w:val="both"/>
        <w:rPr>
          <w:rFonts w:asciiTheme="minorHAnsi" w:hAnsiTheme="minorHAnsi"/>
        </w:rPr>
      </w:pPr>
    </w:p>
    <w:p w14:paraId="05F85E14" w14:textId="20856BEA" w:rsidR="00913FE5" w:rsidRPr="00CB1460" w:rsidRDefault="00381A16" w:rsidP="00554E0E">
      <w:pPr>
        <w:jc w:val="both"/>
        <w:rPr>
          <w:rFonts w:asciiTheme="minorHAnsi" w:hAnsiTheme="minorHAnsi"/>
        </w:rPr>
      </w:pPr>
      <w:r w:rsidRPr="00CB1460">
        <w:rPr>
          <w:rFonts w:asciiTheme="minorHAnsi" w:hAnsiTheme="minorHAnsi"/>
        </w:rPr>
        <w:t>To be sure, m</w:t>
      </w:r>
      <w:r w:rsidR="00AA3722" w:rsidRPr="00CB1460">
        <w:rPr>
          <w:rFonts w:asciiTheme="minorHAnsi" w:hAnsiTheme="minorHAnsi"/>
        </w:rPr>
        <w:t>y take is an outlier</w:t>
      </w:r>
      <w:r w:rsidR="003D28FE" w:rsidRPr="00CB1460">
        <w:rPr>
          <w:rFonts w:asciiTheme="minorHAnsi" w:hAnsiTheme="minorHAnsi"/>
        </w:rPr>
        <w:t xml:space="preserve"> relative to the standard</w:t>
      </w:r>
      <w:r w:rsidR="00EF571B" w:rsidRPr="00CB1460">
        <w:rPr>
          <w:rFonts w:asciiTheme="minorHAnsi" w:hAnsiTheme="minorHAnsi"/>
        </w:rPr>
        <w:t xml:space="preserve"> diagnosis</w:t>
      </w:r>
      <w:r w:rsidRPr="00CB1460">
        <w:rPr>
          <w:rFonts w:asciiTheme="minorHAnsi" w:hAnsiTheme="minorHAnsi"/>
        </w:rPr>
        <w:t xml:space="preserve"> of the </w:t>
      </w:r>
      <w:r w:rsidR="003D28FE" w:rsidRPr="00CB1460">
        <w:rPr>
          <w:rFonts w:asciiTheme="minorHAnsi" w:hAnsiTheme="minorHAnsi"/>
        </w:rPr>
        <w:t xml:space="preserve">problem and its cure. The standard </w:t>
      </w:r>
      <w:r w:rsidRPr="00CB1460">
        <w:rPr>
          <w:rFonts w:asciiTheme="minorHAnsi" w:hAnsiTheme="minorHAnsi"/>
        </w:rPr>
        <w:t>view is that</w:t>
      </w:r>
      <w:r w:rsidR="00842F60" w:rsidRPr="00CB1460">
        <w:rPr>
          <w:rFonts w:asciiTheme="minorHAnsi" w:hAnsiTheme="minorHAnsi"/>
        </w:rPr>
        <w:t xml:space="preserve"> the housing market experienced a bubble, that</w:t>
      </w:r>
      <w:r w:rsidRPr="00CB1460">
        <w:rPr>
          <w:rFonts w:asciiTheme="minorHAnsi" w:hAnsiTheme="minorHAnsi"/>
        </w:rPr>
        <w:t xml:space="preserve"> </w:t>
      </w:r>
      <w:r w:rsidR="00FE2241" w:rsidRPr="00CB1460">
        <w:rPr>
          <w:rFonts w:asciiTheme="minorHAnsi" w:hAnsiTheme="minorHAnsi"/>
        </w:rPr>
        <w:t>regulators were asleep at the wheel, letting households and banks overleverage</w:t>
      </w:r>
      <w:r w:rsidR="00301A41" w:rsidRPr="00CB1460">
        <w:rPr>
          <w:rFonts w:asciiTheme="minorHAnsi" w:hAnsiTheme="minorHAnsi"/>
        </w:rPr>
        <w:t xml:space="preserve">, that </w:t>
      </w:r>
      <w:r w:rsidR="00294435" w:rsidRPr="00CB1460">
        <w:rPr>
          <w:rFonts w:asciiTheme="minorHAnsi" w:hAnsiTheme="minorHAnsi"/>
        </w:rPr>
        <w:t>Wall Street manufactured</w:t>
      </w:r>
      <w:r w:rsidR="006427EF" w:rsidRPr="00CB1460">
        <w:rPr>
          <w:rFonts w:asciiTheme="minorHAnsi" w:hAnsiTheme="minorHAnsi"/>
        </w:rPr>
        <w:t xml:space="preserve"> </w:t>
      </w:r>
      <w:r w:rsidR="001B172B" w:rsidRPr="00CB1460">
        <w:rPr>
          <w:rFonts w:asciiTheme="minorHAnsi" w:hAnsiTheme="minorHAnsi"/>
        </w:rPr>
        <w:t xml:space="preserve">and overvalued </w:t>
      </w:r>
      <w:r w:rsidR="00AD3401" w:rsidRPr="00CB1460">
        <w:rPr>
          <w:rFonts w:asciiTheme="minorHAnsi" w:hAnsiTheme="minorHAnsi"/>
        </w:rPr>
        <w:t xml:space="preserve">dangerous, </w:t>
      </w:r>
      <w:r w:rsidR="00C5590D" w:rsidRPr="00CB1460">
        <w:rPr>
          <w:rFonts w:asciiTheme="minorHAnsi" w:hAnsiTheme="minorHAnsi"/>
        </w:rPr>
        <w:t xml:space="preserve">complex </w:t>
      </w:r>
      <w:r w:rsidR="006427EF" w:rsidRPr="00CB1460">
        <w:rPr>
          <w:rFonts w:asciiTheme="minorHAnsi" w:hAnsiTheme="minorHAnsi"/>
        </w:rPr>
        <w:t>derivatives</w:t>
      </w:r>
      <w:r w:rsidR="00FE2241" w:rsidRPr="00CB1460">
        <w:rPr>
          <w:rFonts w:asciiTheme="minorHAnsi" w:hAnsiTheme="minorHAnsi"/>
        </w:rPr>
        <w:t>,</w:t>
      </w:r>
      <w:r w:rsidR="00301A41" w:rsidRPr="00CB1460">
        <w:rPr>
          <w:rFonts w:asciiTheme="minorHAnsi" w:hAnsiTheme="minorHAnsi"/>
        </w:rPr>
        <w:t xml:space="preserve"> that</w:t>
      </w:r>
      <w:r w:rsidR="00C5590D" w:rsidRPr="00CB1460">
        <w:rPr>
          <w:rFonts w:asciiTheme="minorHAnsi" w:hAnsiTheme="minorHAnsi"/>
        </w:rPr>
        <w:t xml:space="preserve"> conventional and shadow</w:t>
      </w:r>
      <w:r w:rsidR="00301A41" w:rsidRPr="00CB1460">
        <w:rPr>
          <w:rFonts w:asciiTheme="minorHAnsi" w:hAnsiTheme="minorHAnsi"/>
        </w:rPr>
        <w:t xml:space="preserve"> banks </w:t>
      </w:r>
      <w:r w:rsidR="00D94825" w:rsidRPr="00CB1460">
        <w:rPr>
          <w:rFonts w:asciiTheme="minorHAnsi" w:hAnsiTheme="minorHAnsi"/>
        </w:rPr>
        <w:t xml:space="preserve">issued </w:t>
      </w:r>
      <w:r w:rsidR="00CF78BB" w:rsidRPr="00CB1460">
        <w:rPr>
          <w:rFonts w:asciiTheme="minorHAnsi" w:hAnsiTheme="minorHAnsi"/>
        </w:rPr>
        <w:t>and then sold fraudulent</w:t>
      </w:r>
      <w:r w:rsidR="00AE1348" w:rsidRPr="00CB1460">
        <w:rPr>
          <w:rFonts w:asciiTheme="minorHAnsi" w:hAnsiTheme="minorHAnsi"/>
        </w:rPr>
        <w:t xml:space="preserve"> </w:t>
      </w:r>
      <w:r w:rsidR="00D94825" w:rsidRPr="00CB1460">
        <w:rPr>
          <w:rFonts w:asciiTheme="minorHAnsi" w:hAnsiTheme="minorHAnsi"/>
        </w:rPr>
        <w:t>subprime mortgages</w:t>
      </w:r>
      <w:r w:rsidR="006427EF" w:rsidRPr="00CB1460">
        <w:rPr>
          <w:rFonts w:asciiTheme="minorHAnsi" w:hAnsiTheme="minorHAnsi"/>
        </w:rPr>
        <w:t>,</w:t>
      </w:r>
      <w:r w:rsidR="00E9429A" w:rsidRPr="00CB1460">
        <w:rPr>
          <w:rFonts w:asciiTheme="minorHAnsi" w:hAnsiTheme="minorHAnsi"/>
        </w:rPr>
        <w:t xml:space="preserve"> </w:t>
      </w:r>
      <w:r w:rsidR="00087A53" w:rsidRPr="00CB1460">
        <w:rPr>
          <w:rFonts w:asciiTheme="minorHAnsi" w:hAnsiTheme="minorHAnsi"/>
        </w:rPr>
        <w:t xml:space="preserve">that rating companies </w:t>
      </w:r>
      <w:r w:rsidR="003F6F2F" w:rsidRPr="00CB1460">
        <w:rPr>
          <w:rFonts w:asciiTheme="minorHAnsi" w:hAnsiTheme="minorHAnsi"/>
        </w:rPr>
        <w:t xml:space="preserve">were </w:t>
      </w:r>
      <w:r w:rsidR="00AD3401" w:rsidRPr="00CB1460">
        <w:rPr>
          <w:rFonts w:asciiTheme="minorHAnsi" w:hAnsiTheme="minorHAnsi"/>
        </w:rPr>
        <w:t xml:space="preserve">routinely </w:t>
      </w:r>
      <w:r w:rsidR="003F6F2F" w:rsidRPr="00CB1460">
        <w:rPr>
          <w:rFonts w:asciiTheme="minorHAnsi" w:hAnsiTheme="minorHAnsi"/>
        </w:rPr>
        <w:t>bribed</w:t>
      </w:r>
      <w:r w:rsidR="00E9429A" w:rsidRPr="00CB1460">
        <w:rPr>
          <w:rFonts w:asciiTheme="minorHAnsi" w:hAnsiTheme="minorHAnsi"/>
        </w:rPr>
        <w:t xml:space="preserve">, </w:t>
      </w:r>
      <w:r w:rsidR="00B30008" w:rsidRPr="00CB1460">
        <w:rPr>
          <w:rFonts w:asciiTheme="minorHAnsi" w:hAnsiTheme="minorHAnsi"/>
        </w:rPr>
        <w:t xml:space="preserve">that financial traders </w:t>
      </w:r>
      <w:r w:rsidR="00D94825" w:rsidRPr="00CB1460">
        <w:rPr>
          <w:rFonts w:asciiTheme="minorHAnsi" w:hAnsiTheme="minorHAnsi"/>
        </w:rPr>
        <w:t xml:space="preserve">traded too much, that shadow banks operated outside of regulatory scrutiny, </w:t>
      </w:r>
      <w:r w:rsidR="00B9469F" w:rsidRPr="00CB1460">
        <w:rPr>
          <w:rFonts w:asciiTheme="minorHAnsi" w:hAnsiTheme="minorHAnsi"/>
        </w:rPr>
        <w:t xml:space="preserve">that Congress forced Fannie Mae and Freddie Mac to </w:t>
      </w:r>
      <w:r w:rsidR="00A758A5" w:rsidRPr="00CB1460">
        <w:rPr>
          <w:rFonts w:asciiTheme="minorHAnsi" w:hAnsiTheme="minorHAnsi"/>
        </w:rPr>
        <w:t xml:space="preserve">encourage subprimes, </w:t>
      </w:r>
      <w:r w:rsidR="002019BE" w:rsidRPr="00CB1460">
        <w:rPr>
          <w:rFonts w:asciiTheme="minorHAnsi" w:hAnsiTheme="minorHAnsi"/>
        </w:rPr>
        <w:t xml:space="preserve">and that there was too much risk taking. </w:t>
      </w:r>
    </w:p>
    <w:p w14:paraId="08AA81DB" w14:textId="77777777" w:rsidR="00A92E1F" w:rsidRPr="00CB1460" w:rsidRDefault="00A92E1F" w:rsidP="00554E0E">
      <w:pPr>
        <w:jc w:val="both"/>
        <w:rPr>
          <w:rFonts w:asciiTheme="minorHAnsi" w:hAnsiTheme="minorHAnsi"/>
        </w:rPr>
      </w:pPr>
    </w:p>
    <w:p w14:paraId="243DE388" w14:textId="2D0F4B94" w:rsidR="00913FE5" w:rsidRPr="00CB1460" w:rsidRDefault="00913FE5" w:rsidP="00554E0E">
      <w:pPr>
        <w:jc w:val="both"/>
        <w:rPr>
          <w:rFonts w:asciiTheme="minorHAnsi" w:hAnsiTheme="minorHAnsi"/>
          <w:b/>
        </w:rPr>
      </w:pPr>
      <w:r w:rsidRPr="00CB1460">
        <w:rPr>
          <w:rFonts w:asciiTheme="minorHAnsi" w:hAnsiTheme="minorHAnsi"/>
          <w:b/>
        </w:rPr>
        <w:t xml:space="preserve">The Financial Crisis Inquiry Commission’s Postmortem </w:t>
      </w:r>
    </w:p>
    <w:p w14:paraId="331F3AF0" w14:textId="707C4E4B" w:rsidR="00381A16" w:rsidRPr="00CB1460" w:rsidRDefault="00443A5B" w:rsidP="00443A5B">
      <w:pPr>
        <w:jc w:val="both"/>
        <w:rPr>
          <w:rFonts w:asciiTheme="minorHAnsi" w:hAnsiTheme="minorHAnsi"/>
        </w:rPr>
      </w:pPr>
      <w:r w:rsidRPr="00CB1460">
        <w:rPr>
          <w:rFonts w:asciiTheme="minorHAnsi" w:hAnsiTheme="minorHAnsi"/>
        </w:rPr>
        <w:t xml:space="preserve">The Financial </w:t>
      </w:r>
      <w:r w:rsidR="00454975" w:rsidRPr="00CB1460">
        <w:rPr>
          <w:rFonts w:asciiTheme="minorHAnsi" w:hAnsiTheme="minorHAnsi"/>
        </w:rPr>
        <w:t>Crisis Inquiry Commission</w:t>
      </w:r>
      <w:r w:rsidR="00DD5035" w:rsidRPr="00CB1460">
        <w:rPr>
          <w:rFonts w:asciiTheme="minorHAnsi" w:hAnsiTheme="minorHAnsi"/>
        </w:rPr>
        <w:t>’s</w:t>
      </w:r>
      <w:r w:rsidRPr="00CB1460">
        <w:rPr>
          <w:rFonts w:asciiTheme="minorHAnsi" w:hAnsiTheme="minorHAnsi"/>
        </w:rPr>
        <w:t xml:space="preserve"> (FCIC) was established in </w:t>
      </w:r>
      <w:r w:rsidR="0057458F" w:rsidRPr="00CB1460">
        <w:rPr>
          <w:rFonts w:asciiTheme="minorHAnsi" w:hAnsiTheme="minorHAnsi"/>
        </w:rPr>
        <w:t>2009 to investigate the causes of the 2007-2010 financial crisis. Its report, delivered in January</w:t>
      </w:r>
      <w:r w:rsidR="00F86A3C" w:rsidRPr="00CB1460">
        <w:rPr>
          <w:rFonts w:asciiTheme="minorHAnsi" w:hAnsiTheme="minorHAnsi"/>
        </w:rPr>
        <w:t xml:space="preserve"> 2011, includes this</w:t>
      </w:r>
      <w:r w:rsidR="0057458F" w:rsidRPr="00CB1460">
        <w:rPr>
          <w:rFonts w:asciiTheme="minorHAnsi" w:hAnsiTheme="minorHAnsi"/>
        </w:rPr>
        <w:t xml:space="preserve"> summary,</w:t>
      </w:r>
    </w:p>
    <w:p w14:paraId="55ECAD2E" w14:textId="77777777" w:rsidR="00454975" w:rsidRPr="00CB1460" w:rsidRDefault="00454975" w:rsidP="00554E0E">
      <w:pPr>
        <w:jc w:val="both"/>
        <w:rPr>
          <w:rFonts w:asciiTheme="minorHAnsi" w:hAnsiTheme="minorHAnsi"/>
        </w:rPr>
      </w:pPr>
    </w:p>
    <w:p w14:paraId="47932613" w14:textId="20DFEFC4" w:rsidR="00454975" w:rsidRPr="00CB1460" w:rsidRDefault="00454975" w:rsidP="00554E0E">
      <w:pPr>
        <w:widowControl w:val="0"/>
        <w:autoSpaceDE w:val="0"/>
        <w:autoSpaceDN w:val="0"/>
        <w:adjustRightInd w:val="0"/>
        <w:spacing w:after="240" w:line="300" w:lineRule="atLeast"/>
        <w:jc w:val="both"/>
        <w:rPr>
          <w:rFonts w:asciiTheme="minorHAnsi" w:hAnsiTheme="minorHAnsi" w:cs="Times"/>
          <w:i/>
          <w:color w:val="000000"/>
        </w:rPr>
      </w:pPr>
      <w:r w:rsidRPr="00CB1460">
        <w:rPr>
          <w:rFonts w:asciiTheme="minorHAnsi" w:hAnsiTheme="minorHAnsi" w:cs="Times"/>
          <w:i/>
          <w:color w:val="000000"/>
          <w:sz w:val="26"/>
          <w:szCs w:val="26"/>
        </w:rPr>
        <w:t>There was an explosion in risky subprime lending and securitization, an unsustainable rise in</w:t>
      </w:r>
      <w:r w:rsidR="006427EF" w:rsidRPr="00CB1460">
        <w:rPr>
          <w:rFonts w:asciiTheme="minorHAnsi" w:hAnsiTheme="minorHAnsi" w:cs="Times"/>
          <w:i/>
          <w:color w:val="000000"/>
          <w:sz w:val="26"/>
          <w:szCs w:val="26"/>
        </w:rPr>
        <w:t xml:space="preserve"> housing prices, widespread re</w:t>
      </w:r>
      <w:r w:rsidRPr="00CB1460">
        <w:rPr>
          <w:rFonts w:asciiTheme="minorHAnsi" w:hAnsiTheme="minorHAnsi" w:cs="Times"/>
          <w:i/>
          <w:color w:val="000000"/>
          <w:sz w:val="26"/>
          <w:szCs w:val="26"/>
        </w:rPr>
        <w:t>ports of egregious and predatory lending practices, dramatic increases in household mortgage debt, and exponential growth in financial fir</w:t>
      </w:r>
      <w:r w:rsidR="006427EF" w:rsidRPr="00CB1460">
        <w:rPr>
          <w:rFonts w:asciiTheme="minorHAnsi" w:hAnsiTheme="minorHAnsi" w:cs="Times"/>
          <w:i/>
          <w:color w:val="000000"/>
          <w:sz w:val="26"/>
          <w:szCs w:val="26"/>
        </w:rPr>
        <w:t>ms’ trading activities, unregu</w:t>
      </w:r>
      <w:r w:rsidRPr="00CB1460">
        <w:rPr>
          <w:rFonts w:asciiTheme="minorHAnsi" w:hAnsiTheme="minorHAnsi" w:cs="Times"/>
          <w:i/>
          <w:color w:val="000000"/>
          <w:sz w:val="26"/>
          <w:szCs w:val="26"/>
        </w:rPr>
        <w:t>lated derivatives, and short-term “repo” lending markets, among many other red flags. Yet there was pervasive permissiveness; little meaningful action was taken to quell the threats in a timely manner.</w:t>
      </w:r>
      <w:r w:rsidR="008463E0" w:rsidRPr="00CB1460">
        <w:rPr>
          <w:rStyle w:val="FootnoteReference"/>
          <w:rFonts w:asciiTheme="minorHAnsi" w:hAnsiTheme="minorHAnsi"/>
        </w:rPr>
        <w:t xml:space="preserve"> </w:t>
      </w:r>
      <w:r w:rsidR="008463E0" w:rsidRPr="00CB1460">
        <w:rPr>
          <w:rStyle w:val="FootnoteReference"/>
          <w:rFonts w:asciiTheme="minorHAnsi" w:hAnsiTheme="minorHAnsi"/>
        </w:rPr>
        <w:footnoteReference w:id="2"/>
      </w:r>
      <w:r w:rsidR="008463E0" w:rsidRPr="00CB1460">
        <w:rPr>
          <w:rFonts w:asciiTheme="minorHAnsi" w:hAnsiTheme="minorHAnsi"/>
        </w:rPr>
        <w:t xml:space="preserve">  </w:t>
      </w:r>
      <w:r w:rsidRPr="00CB1460">
        <w:rPr>
          <w:rFonts w:asciiTheme="minorHAnsi" w:hAnsiTheme="minorHAnsi" w:cs="Times"/>
          <w:i/>
          <w:color w:val="000000"/>
          <w:sz w:val="26"/>
          <w:szCs w:val="26"/>
        </w:rPr>
        <w:t xml:space="preserve"> </w:t>
      </w:r>
    </w:p>
    <w:p w14:paraId="73BC9C58" w14:textId="4F002A5A" w:rsidR="00454975" w:rsidRPr="00CB1460" w:rsidRDefault="00AA3722" w:rsidP="00554E0E">
      <w:pPr>
        <w:jc w:val="both"/>
        <w:rPr>
          <w:rFonts w:asciiTheme="minorHAnsi" w:hAnsiTheme="minorHAnsi"/>
        </w:rPr>
      </w:pPr>
      <w:r w:rsidRPr="00CB1460">
        <w:rPr>
          <w:rFonts w:asciiTheme="minorHAnsi" w:hAnsiTheme="minorHAnsi"/>
        </w:rPr>
        <w:t xml:space="preserve">The alliteration, </w:t>
      </w:r>
      <w:r w:rsidR="00A63F24" w:rsidRPr="00CB1460">
        <w:rPr>
          <w:rFonts w:asciiTheme="minorHAnsi" w:hAnsiTheme="minorHAnsi"/>
        </w:rPr>
        <w:t>“</w:t>
      </w:r>
      <w:r w:rsidRPr="00CB1460">
        <w:rPr>
          <w:rFonts w:asciiTheme="minorHAnsi" w:hAnsiTheme="minorHAnsi"/>
        </w:rPr>
        <w:t>pervasive permissiveness,</w:t>
      </w:r>
      <w:r w:rsidR="00A63F24" w:rsidRPr="00CB1460">
        <w:rPr>
          <w:rFonts w:asciiTheme="minorHAnsi" w:hAnsiTheme="minorHAnsi"/>
        </w:rPr>
        <w:t>”</w:t>
      </w:r>
      <w:r w:rsidRPr="00CB1460">
        <w:rPr>
          <w:rFonts w:asciiTheme="minorHAnsi" w:hAnsiTheme="minorHAnsi"/>
        </w:rPr>
        <w:t xml:space="preserve"> has a nice ring to it. It als</w:t>
      </w:r>
      <w:r w:rsidR="0033161C" w:rsidRPr="00CB1460">
        <w:rPr>
          <w:rFonts w:asciiTheme="minorHAnsi" w:hAnsiTheme="minorHAnsi"/>
        </w:rPr>
        <w:t>o sums up in two words the standard</w:t>
      </w:r>
      <w:r w:rsidRPr="00CB1460">
        <w:rPr>
          <w:rFonts w:asciiTheme="minorHAnsi" w:hAnsiTheme="minorHAnsi"/>
        </w:rPr>
        <w:t xml:space="preserve"> assessment and lays the foundation for the chosen remedy.</w:t>
      </w:r>
      <w:r w:rsidR="00A758A5" w:rsidRPr="00CB1460">
        <w:rPr>
          <w:rFonts w:asciiTheme="minorHAnsi" w:hAnsiTheme="minorHAnsi"/>
        </w:rPr>
        <w:t xml:space="preserve"> It implies</w:t>
      </w:r>
      <w:r w:rsidR="00D50184" w:rsidRPr="00CB1460">
        <w:rPr>
          <w:rFonts w:asciiTheme="minorHAnsi" w:hAnsiTheme="minorHAnsi"/>
        </w:rPr>
        <w:t xml:space="preserve"> that the problem </w:t>
      </w:r>
      <w:r w:rsidR="00D50184" w:rsidRPr="00CB1460">
        <w:rPr>
          <w:rFonts w:asciiTheme="minorHAnsi" w:hAnsiTheme="minorHAnsi"/>
        </w:rPr>
        <w:lastRenderedPageBreak/>
        <w:t>lay with</w:t>
      </w:r>
      <w:r w:rsidR="000E7FB2" w:rsidRPr="00CB1460">
        <w:rPr>
          <w:rFonts w:asciiTheme="minorHAnsi" w:hAnsiTheme="minorHAnsi"/>
        </w:rPr>
        <w:t xml:space="preserve"> people, not</w:t>
      </w:r>
      <w:r w:rsidRPr="00CB1460">
        <w:rPr>
          <w:rFonts w:asciiTheme="minorHAnsi" w:hAnsiTheme="minorHAnsi"/>
        </w:rPr>
        <w:t xml:space="preserve"> </w:t>
      </w:r>
      <w:r w:rsidR="00A758A5" w:rsidRPr="00CB1460">
        <w:rPr>
          <w:rFonts w:asciiTheme="minorHAnsi" w:hAnsiTheme="minorHAnsi"/>
        </w:rPr>
        <w:t xml:space="preserve">with </w:t>
      </w:r>
      <w:r w:rsidRPr="00CB1460">
        <w:rPr>
          <w:rFonts w:asciiTheme="minorHAnsi" w:hAnsiTheme="minorHAnsi"/>
        </w:rPr>
        <w:t xml:space="preserve">the </w:t>
      </w:r>
      <w:r w:rsidR="000E7FB2" w:rsidRPr="00CB1460">
        <w:rPr>
          <w:rFonts w:asciiTheme="minorHAnsi" w:hAnsiTheme="minorHAnsi"/>
        </w:rPr>
        <w:t xml:space="preserve">intrinsic nature of the </w:t>
      </w:r>
      <w:r w:rsidRPr="00CB1460">
        <w:rPr>
          <w:rFonts w:asciiTheme="minorHAnsi" w:hAnsiTheme="minorHAnsi"/>
        </w:rPr>
        <w:t xml:space="preserve">economy </w:t>
      </w:r>
      <w:r w:rsidR="0033161C" w:rsidRPr="00CB1460">
        <w:rPr>
          <w:rFonts w:asciiTheme="minorHAnsi" w:hAnsiTheme="minorHAnsi"/>
        </w:rPr>
        <w:t xml:space="preserve">or the banking system. It also says </w:t>
      </w:r>
      <w:r w:rsidR="0097400F" w:rsidRPr="00CB1460">
        <w:rPr>
          <w:rFonts w:asciiTheme="minorHAnsi" w:hAnsiTheme="minorHAnsi"/>
        </w:rPr>
        <w:t>that</w:t>
      </w:r>
      <w:r w:rsidR="0033161C" w:rsidRPr="00CB1460">
        <w:rPr>
          <w:rFonts w:asciiTheme="minorHAnsi" w:hAnsiTheme="minorHAnsi"/>
        </w:rPr>
        <w:t xml:space="preserve"> banking’s fix is to ensure </w:t>
      </w:r>
      <w:r w:rsidR="000D0744" w:rsidRPr="00CB1460">
        <w:rPr>
          <w:rFonts w:asciiTheme="minorHAnsi" w:hAnsiTheme="minorHAnsi"/>
        </w:rPr>
        <w:t xml:space="preserve">that </w:t>
      </w:r>
      <w:r w:rsidR="0033161C" w:rsidRPr="00CB1460">
        <w:rPr>
          <w:rFonts w:asciiTheme="minorHAnsi" w:hAnsiTheme="minorHAnsi"/>
        </w:rPr>
        <w:t xml:space="preserve">people, including bankers, raters, regulators, investors, </w:t>
      </w:r>
      <w:r w:rsidR="00446EF5" w:rsidRPr="00CB1460">
        <w:rPr>
          <w:rFonts w:asciiTheme="minorHAnsi" w:hAnsiTheme="minorHAnsi"/>
        </w:rPr>
        <w:t xml:space="preserve">politicians </w:t>
      </w:r>
      <w:r w:rsidR="0033161C" w:rsidRPr="00CB1460">
        <w:rPr>
          <w:rFonts w:asciiTheme="minorHAnsi" w:hAnsiTheme="minorHAnsi"/>
        </w:rPr>
        <w:t>and borrowers</w:t>
      </w:r>
      <w:r w:rsidR="00D1642F" w:rsidRPr="00CB1460">
        <w:rPr>
          <w:rFonts w:asciiTheme="minorHAnsi" w:hAnsiTheme="minorHAnsi"/>
        </w:rPr>
        <w:t>,</w:t>
      </w:r>
      <w:r w:rsidR="0033161C" w:rsidRPr="00CB1460">
        <w:rPr>
          <w:rFonts w:asciiTheme="minorHAnsi" w:hAnsiTheme="minorHAnsi"/>
        </w:rPr>
        <w:t xml:space="preserve"> behave. </w:t>
      </w:r>
    </w:p>
    <w:p w14:paraId="20D41353" w14:textId="77777777" w:rsidR="003B033E" w:rsidRPr="00CB1460" w:rsidRDefault="003B033E" w:rsidP="00554E0E">
      <w:pPr>
        <w:jc w:val="both"/>
        <w:rPr>
          <w:rFonts w:asciiTheme="minorHAnsi" w:hAnsiTheme="minorHAnsi"/>
        </w:rPr>
      </w:pPr>
    </w:p>
    <w:p w14:paraId="29FA032D" w14:textId="25FB299D" w:rsidR="003B033E" w:rsidRPr="00CB1460" w:rsidRDefault="00D52BAB" w:rsidP="00554E0E">
      <w:pPr>
        <w:jc w:val="both"/>
        <w:rPr>
          <w:rFonts w:asciiTheme="minorHAnsi" w:hAnsiTheme="minorHAnsi"/>
          <w:b/>
        </w:rPr>
      </w:pPr>
      <w:r w:rsidRPr="00CB1460">
        <w:rPr>
          <w:rFonts w:asciiTheme="minorHAnsi" w:hAnsiTheme="minorHAnsi"/>
          <w:b/>
        </w:rPr>
        <w:t xml:space="preserve">Liar Loans, No Doc Loans, </w:t>
      </w:r>
      <w:r w:rsidR="001B0C7C" w:rsidRPr="00CB1460">
        <w:rPr>
          <w:rFonts w:asciiTheme="minorHAnsi" w:hAnsiTheme="minorHAnsi"/>
          <w:b/>
        </w:rPr>
        <w:t>NINJA Loans and Other Subprime Mortgages</w:t>
      </w:r>
    </w:p>
    <w:p w14:paraId="29487A43" w14:textId="77777777" w:rsidR="00DE397E" w:rsidRPr="00CB1460" w:rsidRDefault="003B033E" w:rsidP="00554E0E">
      <w:pPr>
        <w:jc w:val="both"/>
        <w:rPr>
          <w:rFonts w:asciiTheme="minorHAnsi" w:hAnsiTheme="minorHAnsi"/>
        </w:rPr>
      </w:pPr>
      <w:r w:rsidRPr="00CB1460">
        <w:rPr>
          <w:rFonts w:asciiTheme="minorHAnsi" w:hAnsiTheme="minorHAnsi"/>
        </w:rPr>
        <w:t xml:space="preserve">Rashes </w:t>
      </w:r>
      <w:r w:rsidR="00C26396" w:rsidRPr="00CB1460">
        <w:rPr>
          <w:rFonts w:asciiTheme="minorHAnsi" w:hAnsiTheme="minorHAnsi"/>
        </w:rPr>
        <w:t xml:space="preserve">are a symptom, not the cause of </w:t>
      </w:r>
      <w:r w:rsidRPr="00CB1460">
        <w:rPr>
          <w:rFonts w:asciiTheme="minorHAnsi" w:hAnsiTheme="minorHAnsi"/>
        </w:rPr>
        <w:t>measle</w:t>
      </w:r>
      <w:r w:rsidR="00C26396" w:rsidRPr="00CB1460">
        <w:rPr>
          <w:rFonts w:asciiTheme="minorHAnsi" w:hAnsiTheme="minorHAnsi"/>
        </w:rPr>
        <w:t xml:space="preserve">s. </w:t>
      </w:r>
      <w:r w:rsidRPr="00CB1460">
        <w:rPr>
          <w:rFonts w:asciiTheme="minorHAnsi" w:hAnsiTheme="minorHAnsi"/>
        </w:rPr>
        <w:t xml:space="preserve">No medical text book would mistake </w:t>
      </w:r>
      <w:r w:rsidR="000C070A" w:rsidRPr="00CB1460">
        <w:rPr>
          <w:rFonts w:asciiTheme="minorHAnsi" w:hAnsiTheme="minorHAnsi"/>
        </w:rPr>
        <w:t>the two. Yet the causes</w:t>
      </w:r>
      <w:r w:rsidR="00450018" w:rsidRPr="00CB1460">
        <w:rPr>
          <w:rFonts w:asciiTheme="minorHAnsi" w:hAnsiTheme="minorHAnsi"/>
        </w:rPr>
        <w:t xml:space="preserve"> of the great recession </w:t>
      </w:r>
      <w:r w:rsidR="00C26396" w:rsidRPr="00CB1460">
        <w:rPr>
          <w:rFonts w:asciiTheme="minorHAnsi" w:hAnsiTheme="minorHAnsi"/>
        </w:rPr>
        <w:t xml:space="preserve">seem </w:t>
      </w:r>
      <w:r w:rsidR="00CD5667" w:rsidRPr="00CB1460">
        <w:rPr>
          <w:rFonts w:asciiTheme="minorHAnsi" w:hAnsiTheme="minorHAnsi"/>
        </w:rPr>
        <w:t xml:space="preserve">largely a description </w:t>
      </w:r>
      <w:r w:rsidR="00BC6755" w:rsidRPr="00CB1460">
        <w:rPr>
          <w:rFonts w:asciiTheme="minorHAnsi" w:hAnsiTheme="minorHAnsi"/>
        </w:rPr>
        <w:t>of what transpired, not an explanation for why events unfolded as they did.</w:t>
      </w:r>
      <w:r w:rsidR="00DE397E" w:rsidRPr="00CB1460">
        <w:rPr>
          <w:rFonts w:asciiTheme="minorHAnsi" w:hAnsiTheme="minorHAnsi"/>
        </w:rPr>
        <w:t xml:space="preserve"> Often these descriptions are poorly disguised exaggerations.</w:t>
      </w:r>
      <w:r w:rsidR="00BC6755" w:rsidRPr="00CB1460">
        <w:rPr>
          <w:rFonts w:asciiTheme="minorHAnsi" w:hAnsiTheme="minorHAnsi"/>
        </w:rPr>
        <w:t xml:space="preserve"> </w:t>
      </w:r>
    </w:p>
    <w:p w14:paraId="472B576E" w14:textId="77777777" w:rsidR="00DE397E" w:rsidRPr="00CB1460" w:rsidRDefault="00DE397E" w:rsidP="00554E0E">
      <w:pPr>
        <w:jc w:val="both"/>
        <w:rPr>
          <w:rFonts w:asciiTheme="minorHAnsi" w:hAnsiTheme="minorHAnsi"/>
        </w:rPr>
      </w:pPr>
    </w:p>
    <w:p w14:paraId="01B65E62" w14:textId="1D746056" w:rsidR="00DB5760" w:rsidRPr="00CB1460" w:rsidRDefault="0070315D" w:rsidP="00554E0E">
      <w:pPr>
        <w:jc w:val="both"/>
        <w:rPr>
          <w:rFonts w:asciiTheme="minorHAnsi" w:hAnsiTheme="minorHAnsi"/>
        </w:rPr>
      </w:pPr>
      <w:r w:rsidRPr="00CB1460">
        <w:rPr>
          <w:rFonts w:asciiTheme="minorHAnsi" w:hAnsiTheme="minorHAnsi"/>
        </w:rPr>
        <w:t xml:space="preserve">Take subprime mortgages. </w:t>
      </w:r>
      <w:r w:rsidR="004C7F42" w:rsidRPr="00CB1460">
        <w:rPr>
          <w:rFonts w:asciiTheme="minorHAnsi" w:hAnsiTheme="minorHAnsi"/>
        </w:rPr>
        <w:t xml:space="preserve">To </w:t>
      </w:r>
      <w:r w:rsidR="00EC2193" w:rsidRPr="00CB1460">
        <w:rPr>
          <w:rFonts w:asciiTheme="minorHAnsi" w:hAnsiTheme="minorHAnsi"/>
        </w:rPr>
        <w:t xml:space="preserve">read the FCIC report, let alone </w:t>
      </w:r>
      <w:r w:rsidR="00A30CFB" w:rsidRPr="00CB1460">
        <w:rPr>
          <w:rFonts w:asciiTheme="minorHAnsi" w:hAnsiTheme="minorHAnsi"/>
        </w:rPr>
        <w:t>watch</w:t>
      </w:r>
      <w:r w:rsidR="00C808BC" w:rsidRPr="00CB1460">
        <w:rPr>
          <w:rFonts w:asciiTheme="minorHAnsi" w:hAnsiTheme="minorHAnsi"/>
        </w:rPr>
        <w:t xml:space="preserve"> the movie,</w:t>
      </w:r>
      <w:r w:rsidR="00A30CFB" w:rsidRPr="00CB1460">
        <w:rPr>
          <w:rFonts w:asciiTheme="minorHAnsi" w:hAnsiTheme="minorHAnsi"/>
        </w:rPr>
        <w:t xml:space="preserve"> </w:t>
      </w:r>
      <w:r w:rsidR="00EC2193" w:rsidRPr="00CB1460">
        <w:rPr>
          <w:rFonts w:asciiTheme="minorHAnsi" w:hAnsiTheme="minorHAnsi"/>
          <w:i/>
        </w:rPr>
        <w:t>The Big Short</w:t>
      </w:r>
      <w:r w:rsidR="00EC2193" w:rsidRPr="00CB1460">
        <w:rPr>
          <w:rFonts w:asciiTheme="minorHAnsi" w:hAnsiTheme="minorHAnsi"/>
        </w:rPr>
        <w:t>,</w:t>
      </w:r>
      <w:r w:rsidR="004C7F42" w:rsidRPr="00CB1460">
        <w:rPr>
          <w:rFonts w:asciiTheme="minorHAnsi" w:hAnsiTheme="minorHAnsi"/>
        </w:rPr>
        <w:t xml:space="preserve"> one m</w:t>
      </w:r>
      <w:r w:rsidR="00B0780D" w:rsidRPr="00CB1460">
        <w:rPr>
          <w:rFonts w:asciiTheme="minorHAnsi" w:hAnsiTheme="minorHAnsi"/>
        </w:rPr>
        <w:t xml:space="preserve">ight conclude that </w:t>
      </w:r>
      <w:r w:rsidR="0097425F" w:rsidRPr="00CB1460">
        <w:rPr>
          <w:rFonts w:asciiTheme="minorHAnsi" w:hAnsiTheme="minorHAnsi"/>
        </w:rPr>
        <w:t>a majority of</w:t>
      </w:r>
      <w:r w:rsidR="00E34856" w:rsidRPr="00CB1460">
        <w:rPr>
          <w:rFonts w:asciiTheme="minorHAnsi" w:hAnsiTheme="minorHAnsi"/>
        </w:rPr>
        <w:t xml:space="preserve"> </w:t>
      </w:r>
      <w:r w:rsidR="0097425F" w:rsidRPr="00CB1460">
        <w:rPr>
          <w:rFonts w:asciiTheme="minorHAnsi" w:hAnsiTheme="minorHAnsi"/>
        </w:rPr>
        <w:t xml:space="preserve">outstanding </w:t>
      </w:r>
      <w:r w:rsidR="00E34856" w:rsidRPr="00CB1460">
        <w:rPr>
          <w:rFonts w:asciiTheme="minorHAnsi" w:hAnsiTheme="minorHAnsi"/>
        </w:rPr>
        <w:t xml:space="preserve">mortgages </w:t>
      </w:r>
      <w:r w:rsidR="0097425F" w:rsidRPr="00CB1460">
        <w:rPr>
          <w:rFonts w:asciiTheme="minorHAnsi" w:hAnsiTheme="minorHAnsi"/>
        </w:rPr>
        <w:t xml:space="preserve">prior to the GR </w:t>
      </w:r>
      <w:r w:rsidR="00E34856" w:rsidRPr="00CB1460">
        <w:rPr>
          <w:rFonts w:asciiTheme="minorHAnsi" w:hAnsiTheme="minorHAnsi"/>
        </w:rPr>
        <w:t xml:space="preserve">were </w:t>
      </w:r>
      <w:r w:rsidR="004C7F42" w:rsidRPr="00CB1460">
        <w:rPr>
          <w:rFonts w:asciiTheme="minorHAnsi" w:hAnsiTheme="minorHAnsi"/>
        </w:rPr>
        <w:t>subprime</w:t>
      </w:r>
      <w:r w:rsidR="0097425F" w:rsidRPr="00CB1460">
        <w:rPr>
          <w:rFonts w:asciiTheme="minorHAnsi" w:hAnsiTheme="minorHAnsi"/>
        </w:rPr>
        <w:t xml:space="preserve">s. </w:t>
      </w:r>
      <w:r w:rsidR="00A63F24" w:rsidRPr="00CB1460">
        <w:rPr>
          <w:rFonts w:asciiTheme="minorHAnsi" w:hAnsiTheme="minorHAnsi"/>
        </w:rPr>
        <w:t>Indeed, the</w:t>
      </w:r>
      <w:r w:rsidR="003C2E84" w:rsidRPr="00CB1460">
        <w:rPr>
          <w:rFonts w:asciiTheme="minorHAnsi" w:hAnsiTheme="minorHAnsi"/>
        </w:rPr>
        <w:t xml:space="preserve"> </w:t>
      </w:r>
      <w:r w:rsidR="00C64535" w:rsidRPr="00CB1460">
        <w:rPr>
          <w:rFonts w:asciiTheme="minorHAnsi" w:hAnsiTheme="minorHAnsi"/>
        </w:rPr>
        <w:t>FCIC report features the word “</w:t>
      </w:r>
      <w:r w:rsidR="003C2E84" w:rsidRPr="00CB1460">
        <w:rPr>
          <w:rFonts w:asciiTheme="minorHAnsi" w:hAnsiTheme="minorHAnsi"/>
        </w:rPr>
        <w:t>subprime</w:t>
      </w:r>
      <w:r w:rsidR="00C64535" w:rsidRPr="00CB1460">
        <w:rPr>
          <w:rFonts w:asciiTheme="minorHAnsi" w:hAnsiTheme="minorHAnsi"/>
        </w:rPr>
        <w:t>” on 41.5 percent of its 662 pages. It mentions the word “mort</w:t>
      </w:r>
      <w:r w:rsidR="00C103C4" w:rsidRPr="00CB1460">
        <w:rPr>
          <w:rFonts w:asciiTheme="minorHAnsi" w:hAnsiTheme="minorHAnsi"/>
        </w:rPr>
        <w:t>g</w:t>
      </w:r>
      <w:r w:rsidR="00C64535" w:rsidRPr="00CB1460">
        <w:rPr>
          <w:rFonts w:asciiTheme="minorHAnsi" w:hAnsiTheme="minorHAnsi"/>
        </w:rPr>
        <w:t>age” on</w:t>
      </w:r>
      <w:r w:rsidR="00C103C4" w:rsidRPr="00CB1460">
        <w:rPr>
          <w:rFonts w:asciiTheme="minorHAnsi" w:hAnsiTheme="minorHAnsi"/>
        </w:rPr>
        <w:t xml:space="preserve"> 69.9 percent of its pages. </w:t>
      </w:r>
      <w:r w:rsidR="00B0780D" w:rsidRPr="00CB1460">
        <w:rPr>
          <w:rFonts w:asciiTheme="minorHAnsi" w:hAnsiTheme="minorHAnsi"/>
        </w:rPr>
        <w:t xml:space="preserve">Hence </w:t>
      </w:r>
      <w:r w:rsidR="00A63F24" w:rsidRPr="00CB1460">
        <w:rPr>
          <w:rFonts w:asciiTheme="minorHAnsi" w:hAnsiTheme="minorHAnsi"/>
        </w:rPr>
        <w:t>subprime-</w:t>
      </w:r>
      <w:r w:rsidR="00B0780D" w:rsidRPr="00CB1460">
        <w:rPr>
          <w:rFonts w:asciiTheme="minorHAnsi" w:hAnsiTheme="minorHAnsi"/>
        </w:rPr>
        <w:t xml:space="preserve">mortgage references </w:t>
      </w:r>
      <w:r w:rsidR="00A63F24" w:rsidRPr="00CB1460">
        <w:rPr>
          <w:rFonts w:asciiTheme="minorHAnsi" w:hAnsiTheme="minorHAnsi"/>
        </w:rPr>
        <w:t>represent</w:t>
      </w:r>
      <w:r w:rsidR="00437FC7" w:rsidRPr="00CB1460">
        <w:rPr>
          <w:rFonts w:asciiTheme="minorHAnsi" w:hAnsiTheme="minorHAnsi"/>
        </w:rPr>
        <w:t xml:space="preserve"> almost 60 percent of all</w:t>
      </w:r>
      <w:r w:rsidR="00A63F24" w:rsidRPr="00CB1460">
        <w:rPr>
          <w:rFonts w:asciiTheme="minorHAnsi" w:hAnsiTheme="minorHAnsi"/>
        </w:rPr>
        <w:t xml:space="preserve"> </w:t>
      </w:r>
      <w:r w:rsidR="00DB5760" w:rsidRPr="00CB1460">
        <w:rPr>
          <w:rFonts w:asciiTheme="minorHAnsi" w:hAnsiTheme="minorHAnsi"/>
        </w:rPr>
        <w:t>FCIC</w:t>
      </w:r>
      <w:r w:rsidR="00A63F24" w:rsidRPr="00CB1460">
        <w:rPr>
          <w:rFonts w:asciiTheme="minorHAnsi" w:hAnsiTheme="minorHAnsi"/>
        </w:rPr>
        <w:t xml:space="preserve"> references to</w:t>
      </w:r>
      <w:r w:rsidR="00DB5760" w:rsidRPr="00CB1460">
        <w:rPr>
          <w:rFonts w:asciiTheme="minorHAnsi" w:hAnsiTheme="minorHAnsi"/>
        </w:rPr>
        <w:t xml:space="preserve"> </w:t>
      </w:r>
      <w:r w:rsidR="00B0780D" w:rsidRPr="00CB1460">
        <w:rPr>
          <w:rFonts w:asciiTheme="minorHAnsi" w:hAnsiTheme="minorHAnsi"/>
        </w:rPr>
        <w:t xml:space="preserve">mortgages. </w:t>
      </w:r>
    </w:p>
    <w:p w14:paraId="20DAA67F" w14:textId="77777777" w:rsidR="00DB5760" w:rsidRPr="00CB1460" w:rsidRDefault="00DB5760" w:rsidP="00554E0E">
      <w:pPr>
        <w:jc w:val="both"/>
        <w:rPr>
          <w:rFonts w:asciiTheme="minorHAnsi" w:hAnsiTheme="minorHAnsi"/>
        </w:rPr>
      </w:pPr>
    </w:p>
    <w:p w14:paraId="5D1181B2" w14:textId="13BA24C8" w:rsidR="00540386" w:rsidRDefault="003A4210" w:rsidP="00554E0E">
      <w:pPr>
        <w:jc w:val="both"/>
        <w:rPr>
          <w:rFonts w:asciiTheme="minorHAnsi" w:hAnsiTheme="minorHAnsi"/>
        </w:rPr>
      </w:pPr>
      <w:r w:rsidRPr="00CB1460">
        <w:rPr>
          <w:rFonts w:asciiTheme="minorHAnsi" w:hAnsiTheme="minorHAnsi"/>
        </w:rPr>
        <w:t xml:space="preserve">This dramatically overstates the importance of subprimes. </w:t>
      </w:r>
      <w:r w:rsidR="00B909B5" w:rsidRPr="00CB1460">
        <w:rPr>
          <w:rFonts w:asciiTheme="minorHAnsi" w:hAnsiTheme="minorHAnsi"/>
        </w:rPr>
        <w:t>In the run up to Le</w:t>
      </w:r>
      <w:r w:rsidR="008C63A8" w:rsidRPr="00CB1460">
        <w:rPr>
          <w:rFonts w:asciiTheme="minorHAnsi" w:hAnsiTheme="minorHAnsi"/>
        </w:rPr>
        <w:t xml:space="preserve">hman’s bankruptcy, </w:t>
      </w:r>
      <w:r w:rsidR="00E954F3" w:rsidRPr="00CB1460">
        <w:rPr>
          <w:rFonts w:asciiTheme="minorHAnsi" w:hAnsiTheme="minorHAnsi"/>
        </w:rPr>
        <w:t>subprimes neve</w:t>
      </w:r>
      <w:r w:rsidR="00926BC4" w:rsidRPr="00CB1460">
        <w:rPr>
          <w:rFonts w:asciiTheme="minorHAnsi" w:hAnsiTheme="minorHAnsi"/>
        </w:rPr>
        <w:t xml:space="preserve">r exceeded 14 percent of total </w:t>
      </w:r>
      <w:r w:rsidR="00B27A0D" w:rsidRPr="00CB1460">
        <w:rPr>
          <w:rFonts w:asciiTheme="minorHAnsi" w:hAnsiTheme="minorHAnsi"/>
        </w:rPr>
        <w:t xml:space="preserve">outstanding </w:t>
      </w:r>
      <w:r w:rsidR="00926BC4" w:rsidRPr="00CB1460">
        <w:rPr>
          <w:rFonts w:asciiTheme="minorHAnsi" w:hAnsiTheme="minorHAnsi"/>
        </w:rPr>
        <w:t xml:space="preserve">mortgages and their share was below </w:t>
      </w:r>
      <w:r w:rsidR="00173C79" w:rsidRPr="00CB1460">
        <w:rPr>
          <w:rFonts w:asciiTheme="minorHAnsi" w:hAnsiTheme="minorHAnsi"/>
        </w:rPr>
        <w:t xml:space="preserve">12 percent on September 15, 2008 when Lehman </w:t>
      </w:r>
      <w:r w:rsidR="00250D74" w:rsidRPr="00CB1460">
        <w:rPr>
          <w:rFonts w:asciiTheme="minorHAnsi" w:hAnsiTheme="minorHAnsi"/>
        </w:rPr>
        <w:t>shut its doors.</w:t>
      </w:r>
      <w:r w:rsidR="00A659C1" w:rsidRPr="00CB1460">
        <w:rPr>
          <w:rStyle w:val="FootnoteReference"/>
          <w:rFonts w:asciiTheme="minorHAnsi" w:hAnsiTheme="minorHAnsi"/>
        </w:rPr>
        <w:footnoteReference w:id="3"/>
      </w:r>
      <w:r w:rsidR="00911CFD" w:rsidRPr="00CB1460">
        <w:rPr>
          <w:rFonts w:asciiTheme="minorHAnsi" w:hAnsiTheme="minorHAnsi"/>
        </w:rPr>
        <w:t xml:space="preserve"> Furthermore, not all subpr</w:t>
      </w:r>
      <w:r w:rsidR="00367883" w:rsidRPr="00CB1460">
        <w:rPr>
          <w:rFonts w:asciiTheme="minorHAnsi" w:hAnsiTheme="minorHAnsi"/>
        </w:rPr>
        <w:t>imes were s</w:t>
      </w:r>
      <w:r w:rsidR="00764652">
        <w:rPr>
          <w:rFonts w:asciiTheme="minorHAnsi" w:hAnsiTheme="minorHAnsi"/>
        </w:rPr>
        <w:t>ub</w:t>
      </w:r>
      <w:r w:rsidR="00FB4233" w:rsidRPr="00CB1460">
        <w:rPr>
          <w:rFonts w:asciiTheme="minorHAnsi" w:hAnsiTheme="minorHAnsi"/>
        </w:rPr>
        <w:t xml:space="preserve">prime when measured by foreclosure </w:t>
      </w:r>
      <w:r w:rsidR="007E13FB" w:rsidRPr="00CB1460">
        <w:rPr>
          <w:rFonts w:asciiTheme="minorHAnsi" w:hAnsiTheme="minorHAnsi"/>
        </w:rPr>
        <w:t xml:space="preserve">rates. </w:t>
      </w:r>
      <w:r w:rsidR="00EE248A" w:rsidRPr="00CB1460">
        <w:rPr>
          <w:rFonts w:asciiTheme="minorHAnsi" w:hAnsiTheme="minorHAnsi"/>
        </w:rPr>
        <w:t>At its</w:t>
      </w:r>
      <w:r w:rsidR="00E836D2" w:rsidRPr="00CB1460">
        <w:rPr>
          <w:rFonts w:asciiTheme="minorHAnsi" w:hAnsiTheme="minorHAnsi"/>
        </w:rPr>
        <w:t xml:space="preserve"> peak,</w:t>
      </w:r>
      <w:r w:rsidR="0017750B" w:rsidRPr="00CB1460">
        <w:rPr>
          <w:rFonts w:asciiTheme="minorHAnsi" w:hAnsiTheme="minorHAnsi"/>
        </w:rPr>
        <w:t xml:space="preserve"> </w:t>
      </w:r>
      <w:r w:rsidR="00EE248A" w:rsidRPr="00CB1460">
        <w:rPr>
          <w:rFonts w:asciiTheme="minorHAnsi" w:hAnsiTheme="minorHAnsi"/>
        </w:rPr>
        <w:t xml:space="preserve">the </w:t>
      </w:r>
      <w:r w:rsidR="0017750B" w:rsidRPr="00CB1460">
        <w:rPr>
          <w:rFonts w:asciiTheme="minorHAnsi" w:hAnsiTheme="minorHAnsi"/>
        </w:rPr>
        <w:t xml:space="preserve">subprime </w:t>
      </w:r>
      <w:r w:rsidR="000C070A" w:rsidRPr="00CB1460">
        <w:rPr>
          <w:rFonts w:asciiTheme="minorHAnsi" w:hAnsiTheme="minorHAnsi"/>
        </w:rPr>
        <w:t>foreclosure rate</w:t>
      </w:r>
      <w:r w:rsidR="00EE248A" w:rsidRPr="00CB1460">
        <w:rPr>
          <w:rFonts w:asciiTheme="minorHAnsi" w:hAnsiTheme="minorHAnsi"/>
        </w:rPr>
        <w:t xml:space="preserve"> </w:t>
      </w:r>
      <w:r w:rsidR="00540386">
        <w:rPr>
          <w:rFonts w:asciiTheme="minorHAnsi" w:hAnsiTheme="minorHAnsi"/>
        </w:rPr>
        <w:t xml:space="preserve">was </w:t>
      </w:r>
      <w:r w:rsidR="007B3B28" w:rsidRPr="00CB1460">
        <w:rPr>
          <w:rFonts w:asciiTheme="minorHAnsi" w:hAnsiTheme="minorHAnsi"/>
        </w:rPr>
        <w:t>only</w:t>
      </w:r>
      <w:r w:rsidR="0017750B" w:rsidRPr="00CB1460">
        <w:rPr>
          <w:rFonts w:asciiTheme="minorHAnsi" w:hAnsiTheme="minorHAnsi"/>
        </w:rPr>
        <w:t xml:space="preserve"> 15 percent.</w:t>
      </w:r>
      <w:r w:rsidR="0017750B" w:rsidRPr="00CB1460">
        <w:rPr>
          <w:rStyle w:val="FootnoteReference"/>
          <w:rFonts w:asciiTheme="minorHAnsi" w:hAnsiTheme="minorHAnsi"/>
        </w:rPr>
        <w:footnoteReference w:id="4"/>
      </w:r>
      <w:r w:rsidR="00E836D2" w:rsidRPr="00CB1460">
        <w:rPr>
          <w:rFonts w:asciiTheme="minorHAnsi" w:hAnsiTheme="minorHAnsi"/>
        </w:rPr>
        <w:t xml:space="preserve"> </w:t>
      </w:r>
    </w:p>
    <w:p w14:paraId="67EF914D" w14:textId="03A95F50" w:rsidR="00DB5760" w:rsidRPr="00CB1460" w:rsidRDefault="00417992" w:rsidP="00554E0E">
      <w:pPr>
        <w:jc w:val="both"/>
        <w:rPr>
          <w:rFonts w:asciiTheme="minorHAnsi" w:hAnsiTheme="minorHAnsi"/>
        </w:rPr>
      </w:pPr>
      <w:r w:rsidRPr="00CB1460">
        <w:rPr>
          <w:rFonts w:asciiTheme="minorHAnsi" w:hAnsiTheme="minorHAnsi"/>
        </w:rPr>
        <w:t>Foreclosure rates on prime mortgages peaked at about 3.5 percent.</w:t>
      </w:r>
      <w:r w:rsidRPr="00CB1460">
        <w:rPr>
          <w:rStyle w:val="FootnoteReference"/>
          <w:rFonts w:asciiTheme="minorHAnsi" w:hAnsiTheme="minorHAnsi"/>
        </w:rPr>
        <w:footnoteReference w:id="5"/>
      </w:r>
      <w:r w:rsidRPr="00CB1460">
        <w:rPr>
          <w:rFonts w:asciiTheme="minorHAnsi" w:hAnsiTheme="minorHAnsi"/>
        </w:rPr>
        <w:t xml:space="preserve"> </w:t>
      </w:r>
      <w:r w:rsidR="003A4210" w:rsidRPr="00CB1460">
        <w:rPr>
          <w:rFonts w:asciiTheme="minorHAnsi" w:hAnsiTheme="minorHAnsi"/>
        </w:rPr>
        <w:t>Since a</w:t>
      </w:r>
      <w:r w:rsidRPr="00CB1460">
        <w:rPr>
          <w:rFonts w:asciiTheme="minorHAnsi" w:hAnsiTheme="minorHAnsi"/>
        </w:rPr>
        <w:t>t most, 14 percent of outstanding mortga</w:t>
      </w:r>
      <w:r w:rsidR="003A4210" w:rsidRPr="00CB1460">
        <w:rPr>
          <w:rFonts w:asciiTheme="minorHAnsi" w:hAnsiTheme="minorHAnsi"/>
        </w:rPr>
        <w:t>ges in 2009 were subprime</w:t>
      </w:r>
      <w:r w:rsidRPr="00CB1460">
        <w:rPr>
          <w:rFonts w:asciiTheme="minorHAnsi" w:hAnsiTheme="minorHAnsi"/>
        </w:rPr>
        <w:t xml:space="preserve">, at most, 2.1 (.15 x .14) percent of all mortgages </w:t>
      </w:r>
      <w:r w:rsidR="007B3B28" w:rsidRPr="00CB1460">
        <w:rPr>
          <w:rFonts w:asciiTheme="minorHAnsi" w:hAnsiTheme="minorHAnsi"/>
        </w:rPr>
        <w:t>at</w:t>
      </w:r>
      <w:r w:rsidR="003A4210" w:rsidRPr="00CB1460">
        <w:rPr>
          <w:rFonts w:asciiTheme="minorHAnsi" w:hAnsiTheme="minorHAnsi"/>
        </w:rPr>
        <w:t xml:space="preserve"> the height of the Great Reces</w:t>
      </w:r>
      <w:r w:rsidRPr="00CB1460">
        <w:rPr>
          <w:rFonts w:asciiTheme="minorHAnsi" w:hAnsiTheme="minorHAnsi"/>
        </w:rPr>
        <w:t xml:space="preserve">sion </w:t>
      </w:r>
      <w:r w:rsidR="00251292" w:rsidRPr="00CB1460">
        <w:rPr>
          <w:rFonts w:asciiTheme="minorHAnsi" w:hAnsiTheme="minorHAnsi"/>
        </w:rPr>
        <w:t>represented</w:t>
      </w:r>
      <w:r w:rsidR="00B2070C" w:rsidRPr="00CB1460">
        <w:rPr>
          <w:rFonts w:asciiTheme="minorHAnsi" w:hAnsiTheme="minorHAnsi"/>
        </w:rPr>
        <w:t xml:space="preserve"> foreclosed </w:t>
      </w:r>
      <w:r w:rsidRPr="00CB1460">
        <w:rPr>
          <w:rFonts w:asciiTheme="minorHAnsi" w:hAnsiTheme="minorHAnsi"/>
        </w:rPr>
        <w:t xml:space="preserve">subprime </w:t>
      </w:r>
      <w:r w:rsidR="00B2070C" w:rsidRPr="00CB1460">
        <w:rPr>
          <w:rFonts w:asciiTheme="minorHAnsi" w:hAnsiTheme="minorHAnsi"/>
        </w:rPr>
        <w:t>mortgages</w:t>
      </w:r>
      <w:r w:rsidRPr="00CB1460">
        <w:rPr>
          <w:rFonts w:asciiTheme="minorHAnsi" w:hAnsiTheme="minorHAnsi"/>
        </w:rPr>
        <w:t xml:space="preserve">. </w:t>
      </w:r>
      <w:r w:rsidR="00432D37" w:rsidRPr="00CB1460">
        <w:rPr>
          <w:rFonts w:asciiTheme="minorHAnsi" w:hAnsiTheme="minorHAnsi"/>
        </w:rPr>
        <w:t>This seems like a very small numb</w:t>
      </w:r>
      <w:r w:rsidR="00DB5760" w:rsidRPr="00CB1460">
        <w:rPr>
          <w:rFonts w:asciiTheme="minorHAnsi" w:hAnsiTheme="minorHAnsi"/>
        </w:rPr>
        <w:t xml:space="preserve">er given the </w:t>
      </w:r>
      <w:r w:rsidR="001F615A" w:rsidRPr="00CB1460">
        <w:rPr>
          <w:rFonts w:asciiTheme="minorHAnsi" w:hAnsiTheme="minorHAnsi"/>
        </w:rPr>
        <w:t xml:space="preserve">tremendous </w:t>
      </w:r>
      <w:r w:rsidR="00DB5760" w:rsidRPr="00CB1460">
        <w:rPr>
          <w:rFonts w:asciiTheme="minorHAnsi" w:hAnsiTheme="minorHAnsi"/>
        </w:rPr>
        <w:t>attention paid to</w:t>
      </w:r>
      <w:r w:rsidR="00432D37" w:rsidRPr="00CB1460">
        <w:rPr>
          <w:rFonts w:asciiTheme="minorHAnsi" w:hAnsiTheme="minorHAnsi"/>
        </w:rPr>
        <w:t xml:space="preserve"> subprimes. </w:t>
      </w:r>
    </w:p>
    <w:p w14:paraId="3D24479A" w14:textId="77777777" w:rsidR="00DB5760" w:rsidRPr="00CB1460" w:rsidRDefault="00DB5760" w:rsidP="00554E0E">
      <w:pPr>
        <w:jc w:val="both"/>
        <w:rPr>
          <w:rFonts w:asciiTheme="minorHAnsi" w:hAnsiTheme="minorHAnsi"/>
        </w:rPr>
      </w:pPr>
    </w:p>
    <w:p w14:paraId="166CC32D" w14:textId="286FFAE2" w:rsidR="00E802E9" w:rsidRPr="00CB1460" w:rsidRDefault="00432D37" w:rsidP="00554E0E">
      <w:pPr>
        <w:jc w:val="both"/>
        <w:rPr>
          <w:rFonts w:asciiTheme="minorHAnsi" w:hAnsiTheme="minorHAnsi"/>
        </w:rPr>
      </w:pPr>
      <w:r w:rsidRPr="00CB1460">
        <w:rPr>
          <w:rFonts w:asciiTheme="minorHAnsi" w:hAnsiTheme="minorHAnsi"/>
        </w:rPr>
        <w:t>At the recession’s peak, r</w:t>
      </w:r>
      <w:r w:rsidR="00150A14" w:rsidRPr="00CB1460">
        <w:rPr>
          <w:rFonts w:asciiTheme="minorHAnsi" w:hAnsiTheme="minorHAnsi"/>
        </w:rPr>
        <w:t>oughly 4.8 percent of all mortgages were in foreclosure</w:t>
      </w:r>
      <w:r w:rsidRPr="00CB1460">
        <w:rPr>
          <w:rFonts w:asciiTheme="minorHAnsi" w:hAnsiTheme="minorHAnsi"/>
        </w:rPr>
        <w:t>. S</w:t>
      </w:r>
      <w:r w:rsidR="00117178">
        <w:rPr>
          <w:rFonts w:asciiTheme="minorHAnsi" w:hAnsiTheme="minorHAnsi"/>
        </w:rPr>
        <w:t>ub</w:t>
      </w:r>
      <w:r w:rsidR="00693A31" w:rsidRPr="00CB1460">
        <w:rPr>
          <w:rFonts w:asciiTheme="minorHAnsi" w:hAnsiTheme="minorHAnsi"/>
        </w:rPr>
        <w:t>prime</w:t>
      </w:r>
      <w:r w:rsidRPr="00CB1460">
        <w:rPr>
          <w:rFonts w:asciiTheme="minorHAnsi" w:hAnsiTheme="minorHAnsi"/>
        </w:rPr>
        <w:t>s constituted almost half of these</w:t>
      </w:r>
      <w:r w:rsidR="00693A31" w:rsidRPr="00CB1460">
        <w:rPr>
          <w:rFonts w:asciiTheme="minorHAnsi" w:hAnsiTheme="minorHAnsi"/>
        </w:rPr>
        <w:t xml:space="preserve"> foreclosures</w:t>
      </w:r>
      <w:r w:rsidR="002B677E" w:rsidRPr="00CB1460">
        <w:rPr>
          <w:rFonts w:asciiTheme="minorHAnsi" w:hAnsiTheme="minorHAnsi"/>
        </w:rPr>
        <w:t xml:space="preserve">. </w:t>
      </w:r>
      <w:r w:rsidR="000B572A" w:rsidRPr="00CB1460">
        <w:rPr>
          <w:rFonts w:asciiTheme="minorHAnsi" w:hAnsiTheme="minorHAnsi"/>
        </w:rPr>
        <w:t>This</w:t>
      </w:r>
      <w:r w:rsidR="00685C4C" w:rsidRPr="00CB1460">
        <w:rPr>
          <w:rFonts w:asciiTheme="minorHAnsi" w:hAnsiTheme="minorHAnsi"/>
        </w:rPr>
        <w:t xml:space="preserve"> oversized share of </w:t>
      </w:r>
      <w:r w:rsidR="000B572A" w:rsidRPr="00CB1460">
        <w:rPr>
          <w:rFonts w:asciiTheme="minorHAnsi" w:hAnsiTheme="minorHAnsi"/>
        </w:rPr>
        <w:t>subprime</w:t>
      </w:r>
      <w:r w:rsidR="00685C4C" w:rsidRPr="00CB1460">
        <w:rPr>
          <w:rFonts w:asciiTheme="minorHAnsi" w:hAnsiTheme="minorHAnsi"/>
        </w:rPr>
        <w:t xml:space="preserve">s </w:t>
      </w:r>
      <w:r w:rsidR="00D45903" w:rsidRPr="00CB1460">
        <w:rPr>
          <w:rFonts w:asciiTheme="minorHAnsi" w:hAnsiTheme="minorHAnsi"/>
        </w:rPr>
        <w:t xml:space="preserve">in total foreclosures </w:t>
      </w:r>
      <w:r w:rsidR="00685C4C" w:rsidRPr="00CB1460">
        <w:rPr>
          <w:rFonts w:asciiTheme="minorHAnsi" w:hAnsiTheme="minorHAnsi"/>
        </w:rPr>
        <w:t>suggest</w:t>
      </w:r>
      <w:r w:rsidR="00D45903" w:rsidRPr="00CB1460">
        <w:rPr>
          <w:rFonts w:asciiTheme="minorHAnsi" w:hAnsiTheme="minorHAnsi"/>
        </w:rPr>
        <w:t>s</w:t>
      </w:r>
      <w:r w:rsidR="00F769CA" w:rsidRPr="00CB1460">
        <w:rPr>
          <w:rFonts w:asciiTheme="minorHAnsi" w:hAnsiTheme="minorHAnsi"/>
        </w:rPr>
        <w:t xml:space="preserve"> they ignited the recession </w:t>
      </w:r>
      <w:r w:rsidR="00D45903" w:rsidRPr="00CB1460">
        <w:rPr>
          <w:rFonts w:asciiTheme="minorHAnsi" w:hAnsiTheme="minorHAnsi"/>
        </w:rPr>
        <w:t xml:space="preserve">or at least made helped make </w:t>
      </w:r>
      <w:r w:rsidR="00F769CA" w:rsidRPr="00CB1460">
        <w:rPr>
          <w:rFonts w:asciiTheme="minorHAnsi" w:hAnsiTheme="minorHAnsi"/>
        </w:rPr>
        <w:t>it “</w:t>
      </w:r>
      <w:r w:rsidR="00D45903" w:rsidRPr="00CB1460">
        <w:rPr>
          <w:rFonts w:asciiTheme="minorHAnsi" w:hAnsiTheme="minorHAnsi"/>
        </w:rPr>
        <w:t>great.</w:t>
      </w:r>
      <w:r w:rsidR="00F769CA" w:rsidRPr="00CB1460">
        <w:rPr>
          <w:rFonts w:asciiTheme="minorHAnsi" w:hAnsiTheme="minorHAnsi"/>
        </w:rPr>
        <w:t>”</w:t>
      </w:r>
      <w:r w:rsidR="00D45903" w:rsidRPr="00CB1460">
        <w:rPr>
          <w:rFonts w:asciiTheme="minorHAnsi" w:hAnsiTheme="minorHAnsi"/>
        </w:rPr>
        <w:t xml:space="preserve"> </w:t>
      </w:r>
      <w:r w:rsidR="002B677E" w:rsidRPr="00CB1460">
        <w:rPr>
          <w:rFonts w:asciiTheme="minorHAnsi" w:hAnsiTheme="minorHAnsi"/>
        </w:rPr>
        <w:t xml:space="preserve">But </w:t>
      </w:r>
      <w:r w:rsidR="00D45903" w:rsidRPr="00CB1460">
        <w:rPr>
          <w:rFonts w:asciiTheme="minorHAnsi" w:hAnsiTheme="minorHAnsi"/>
        </w:rPr>
        <w:t xml:space="preserve">subprimes </w:t>
      </w:r>
      <w:r w:rsidR="002B677E" w:rsidRPr="00CB1460">
        <w:rPr>
          <w:rFonts w:asciiTheme="minorHAnsi" w:hAnsiTheme="minorHAnsi"/>
        </w:rPr>
        <w:t xml:space="preserve">constituted </w:t>
      </w:r>
      <w:r w:rsidR="00CF0BCC" w:rsidRPr="00CB1460">
        <w:rPr>
          <w:rFonts w:asciiTheme="minorHAnsi" w:hAnsiTheme="minorHAnsi"/>
        </w:rPr>
        <w:t>over</w:t>
      </w:r>
      <w:r w:rsidR="00E802E9" w:rsidRPr="00CB1460">
        <w:rPr>
          <w:rFonts w:asciiTheme="minorHAnsi" w:hAnsiTheme="minorHAnsi"/>
        </w:rPr>
        <w:t xml:space="preserve"> 60 of all foreclosures in 2004</w:t>
      </w:r>
      <w:r w:rsidR="00CF0BCC" w:rsidRPr="00CB1460">
        <w:rPr>
          <w:rFonts w:asciiTheme="minorHAnsi" w:hAnsiTheme="minorHAnsi"/>
        </w:rPr>
        <w:t xml:space="preserve"> when the economy was doing </w:t>
      </w:r>
      <w:r w:rsidR="00DB5760" w:rsidRPr="00CB1460">
        <w:rPr>
          <w:rFonts w:asciiTheme="minorHAnsi" w:hAnsiTheme="minorHAnsi"/>
        </w:rPr>
        <w:t xml:space="preserve">just </w:t>
      </w:r>
      <w:r w:rsidR="00CF0BCC" w:rsidRPr="00CB1460">
        <w:rPr>
          <w:rFonts w:asciiTheme="minorHAnsi" w:hAnsiTheme="minorHAnsi"/>
        </w:rPr>
        <w:t>fine.</w:t>
      </w:r>
      <w:r w:rsidR="00EC073F" w:rsidRPr="00CB1460">
        <w:rPr>
          <w:rFonts w:asciiTheme="minorHAnsi" w:hAnsiTheme="minorHAnsi"/>
        </w:rPr>
        <w:t xml:space="preserve"> </w:t>
      </w:r>
      <w:r w:rsidR="00CF0BCC" w:rsidRPr="00CB1460">
        <w:rPr>
          <w:rFonts w:asciiTheme="minorHAnsi" w:hAnsiTheme="minorHAnsi"/>
        </w:rPr>
        <w:t xml:space="preserve"> </w:t>
      </w:r>
      <w:r w:rsidR="005F1245" w:rsidRPr="00CB1460">
        <w:rPr>
          <w:rFonts w:asciiTheme="minorHAnsi" w:hAnsiTheme="minorHAnsi"/>
        </w:rPr>
        <w:t>Subprimes were and are</w:t>
      </w:r>
      <w:r w:rsidR="000C070A" w:rsidRPr="00CB1460">
        <w:rPr>
          <w:rFonts w:asciiTheme="minorHAnsi" w:hAnsiTheme="minorHAnsi"/>
        </w:rPr>
        <w:t xml:space="preserve"> built to be risky. No one was shocked about their high foreclosure rate in 2004 and it certainly didn’t spark a recession.</w:t>
      </w:r>
    </w:p>
    <w:p w14:paraId="3C1EAD21" w14:textId="77777777" w:rsidR="00E802E9" w:rsidRPr="00CB1460" w:rsidRDefault="00E802E9" w:rsidP="00554E0E">
      <w:pPr>
        <w:jc w:val="both"/>
        <w:rPr>
          <w:rFonts w:asciiTheme="minorHAnsi" w:hAnsiTheme="minorHAnsi"/>
        </w:rPr>
      </w:pPr>
    </w:p>
    <w:p w14:paraId="68B06E88" w14:textId="77777777" w:rsidR="00D220B0" w:rsidRPr="00CB1460" w:rsidRDefault="00417992" w:rsidP="00554E0E">
      <w:pPr>
        <w:jc w:val="both"/>
        <w:rPr>
          <w:rFonts w:asciiTheme="minorHAnsi" w:hAnsiTheme="minorHAnsi"/>
        </w:rPr>
      </w:pPr>
      <w:r w:rsidRPr="00CB1460">
        <w:rPr>
          <w:rFonts w:asciiTheme="minorHAnsi" w:hAnsiTheme="minorHAnsi"/>
        </w:rPr>
        <w:lastRenderedPageBreak/>
        <w:t xml:space="preserve">Furthermore, </w:t>
      </w:r>
      <w:r w:rsidR="00711599" w:rsidRPr="00CB1460">
        <w:rPr>
          <w:rFonts w:asciiTheme="minorHAnsi" w:hAnsiTheme="minorHAnsi"/>
        </w:rPr>
        <w:t xml:space="preserve">one can’t claim subprime defaults caused the GR by considering defaults during the GR. </w:t>
      </w:r>
      <w:r w:rsidRPr="00CB1460">
        <w:rPr>
          <w:rFonts w:asciiTheme="minorHAnsi" w:hAnsiTheme="minorHAnsi"/>
        </w:rPr>
        <w:t>When the Great Recession began, the default</w:t>
      </w:r>
      <w:r w:rsidR="00711599" w:rsidRPr="00CB1460">
        <w:rPr>
          <w:rFonts w:asciiTheme="minorHAnsi" w:hAnsiTheme="minorHAnsi"/>
        </w:rPr>
        <w:t xml:space="preserve"> (mortgage delinquencies</w:t>
      </w:r>
      <w:r w:rsidRPr="00CB1460">
        <w:rPr>
          <w:rFonts w:asciiTheme="minorHAnsi" w:hAnsiTheme="minorHAnsi"/>
        </w:rPr>
        <w:t xml:space="preserve"> </w:t>
      </w:r>
      <w:r w:rsidR="00711599" w:rsidRPr="00CB1460">
        <w:rPr>
          <w:rFonts w:asciiTheme="minorHAnsi" w:hAnsiTheme="minorHAnsi"/>
        </w:rPr>
        <w:t xml:space="preserve">plus foreclosures) </w:t>
      </w:r>
      <w:r w:rsidRPr="00CB1460">
        <w:rPr>
          <w:rFonts w:asciiTheme="minorHAnsi" w:hAnsiTheme="minorHAnsi"/>
        </w:rPr>
        <w:t>rate on all mortgages was only 3.7 percent.</w:t>
      </w:r>
      <w:r w:rsidRPr="00CB1460">
        <w:rPr>
          <w:rStyle w:val="FootnoteReference"/>
          <w:rFonts w:asciiTheme="minorHAnsi" w:hAnsiTheme="minorHAnsi"/>
        </w:rPr>
        <w:footnoteReference w:id="6"/>
      </w:r>
      <w:r w:rsidRPr="00CB1460">
        <w:rPr>
          <w:rFonts w:asciiTheme="minorHAnsi" w:hAnsiTheme="minorHAnsi"/>
        </w:rPr>
        <w:t xml:space="preserve"> It rose to 11.5 percent over the next two years as close to 9 million workers lost their jobs.</w:t>
      </w:r>
      <w:r w:rsidRPr="00CB1460">
        <w:rPr>
          <w:rStyle w:val="FootnoteReference"/>
          <w:rFonts w:asciiTheme="minorHAnsi" w:hAnsiTheme="minorHAnsi"/>
        </w:rPr>
        <w:footnoteReference w:id="7"/>
      </w:r>
      <w:r w:rsidRPr="00CB1460">
        <w:rPr>
          <w:rFonts w:asciiTheme="minorHAnsi" w:hAnsiTheme="minorHAnsi"/>
        </w:rPr>
        <w:t xml:space="preserve"> </w:t>
      </w:r>
      <w:r w:rsidR="00B00387" w:rsidRPr="00CB1460">
        <w:rPr>
          <w:rFonts w:asciiTheme="minorHAnsi" w:hAnsiTheme="minorHAnsi"/>
        </w:rPr>
        <w:t>I.e., the GR caused</w:t>
      </w:r>
      <w:r w:rsidR="00682536" w:rsidRPr="00CB1460">
        <w:rPr>
          <w:rFonts w:asciiTheme="minorHAnsi" w:hAnsiTheme="minorHAnsi"/>
        </w:rPr>
        <w:t xml:space="preserve"> </w:t>
      </w:r>
      <w:r w:rsidR="00D220B0" w:rsidRPr="00CB1460">
        <w:rPr>
          <w:rFonts w:asciiTheme="minorHAnsi" w:hAnsiTheme="minorHAnsi"/>
        </w:rPr>
        <w:t xml:space="preserve">defaults, not the other way around. </w:t>
      </w:r>
    </w:p>
    <w:p w14:paraId="6EF11E27" w14:textId="77777777" w:rsidR="00D220B0" w:rsidRPr="00CB1460" w:rsidRDefault="00D220B0" w:rsidP="00554E0E">
      <w:pPr>
        <w:jc w:val="both"/>
        <w:rPr>
          <w:rFonts w:asciiTheme="minorHAnsi" w:hAnsiTheme="minorHAnsi"/>
        </w:rPr>
      </w:pPr>
    </w:p>
    <w:p w14:paraId="1F665DFD" w14:textId="12334869" w:rsidR="00417992" w:rsidRDefault="00682536" w:rsidP="00554E0E">
      <w:pPr>
        <w:jc w:val="both"/>
        <w:rPr>
          <w:rFonts w:asciiTheme="minorHAnsi" w:hAnsiTheme="minorHAnsi"/>
        </w:rPr>
      </w:pPr>
      <w:r w:rsidRPr="00CB1460">
        <w:rPr>
          <w:rFonts w:asciiTheme="minorHAnsi" w:hAnsiTheme="minorHAnsi"/>
        </w:rPr>
        <w:t>In 2007, before the GR</w:t>
      </w:r>
      <w:r w:rsidR="00D220B0" w:rsidRPr="00CB1460">
        <w:rPr>
          <w:rFonts w:asciiTheme="minorHAnsi" w:hAnsiTheme="minorHAnsi"/>
        </w:rPr>
        <w:t>,</w:t>
      </w:r>
      <w:r w:rsidRPr="00CB1460">
        <w:rPr>
          <w:rFonts w:asciiTheme="minorHAnsi" w:hAnsiTheme="minorHAnsi"/>
        </w:rPr>
        <w:t xml:space="preserve"> </w:t>
      </w:r>
      <w:r w:rsidR="00C63BCD" w:rsidRPr="00CB1460">
        <w:rPr>
          <w:rFonts w:asciiTheme="minorHAnsi" w:hAnsiTheme="minorHAnsi"/>
        </w:rPr>
        <w:t>the subprime foreclosure</w:t>
      </w:r>
      <w:r w:rsidR="00E37729" w:rsidRPr="00CB1460">
        <w:rPr>
          <w:rFonts w:asciiTheme="minorHAnsi" w:hAnsiTheme="minorHAnsi"/>
        </w:rPr>
        <w:t xml:space="preserve"> rate was</w:t>
      </w:r>
      <w:r w:rsidR="00C63BCD" w:rsidRPr="00CB1460">
        <w:rPr>
          <w:rFonts w:asciiTheme="minorHAnsi" w:hAnsiTheme="minorHAnsi"/>
        </w:rPr>
        <w:t xml:space="preserve"> 5 percent. It rose by a factor of </w:t>
      </w:r>
      <w:r w:rsidR="003E438F" w:rsidRPr="00CB1460">
        <w:rPr>
          <w:rFonts w:asciiTheme="minorHAnsi" w:hAnsiTheme="minorHAnsi"/>
        </w:rPr>
        <w:t xml:space="preserve">roughly </w:t>
      </w:r>
      <w:r w:rsidR="00C63BCD" w:rsidRPr="00CB1460">
        <w:rPr>
          <w:rFonts w:asciiTheme="minorHAnsi" w:hAnsiTheme="minorHAnsi"/>
        </w:rPr>
        <w:t>3 during the GR. But the 2007 foreclosure rate for prime mortgages was 1 p</w:t>
      </w:r>
      <w:r w:rsidR="003E438F" w:rsidRPr="00CB1460">
        <w:rPr>
          <w:rFonts w:asciiTheme="minorHAnsi" w:hAnsiTheme="minorHAnsi"/>
        </w:rPr>
        <w:t>ercent and rose by a factor of more than 4</w:t>
      </w:r>
      <w:r w:rsidR="00C63BCD" w:rsidRPr="00CB1460">
        <w:rPr>
          <w:rFonts w:asciiTheme="minorHAnsi" w:hAnsiTheme="minorHAnsi"/>
        </w:rPr>
        <w:t xml:space="preserve">.  </w:t>
      </w:r>
      <w:r w:rsidR="00E164CF" w:rsidRPr="00CB1460">
        <w:rPr>
          <w:rFonts w:asciiTheme="minorHAnsi" w:hAnsiTheme="minorHAnsi"/>
        </w:rPr>
        <w:t xml:space="preserve">Hence, one </w:t>
      </w:r>
      <w:r w:rsidR="00056E36" w:rsidRPr="00CB1460">
        <w:rPr>
          <w:rFonts w:asciiTheme="minorHAnsi" w:hAnsiTheme="minorHAnsi"/>
        </w:rPr>
        <w:t>can</w:t>
      </w:r>
      <w:r w:rsidR="005C7D44" w:rsidRPr="00CB1460">
        <w:rPr>
          <w:rFonts w:asciiTheme="minorHAnsi" w:hAnsiTheme="minorHAnsi"/>
        </w:rPr>
        <w:t xml:space="preserve"> argue that if bad mortgages caused the GR, it was prime </w:t>
      </w:r>
      <w:r w:rsidR="00056E36" w:rsidRPr="00CB1460">
        <w:rPr>
          <w:rFonts w:asciiTheme="minorHAnsi" w:hAnsiTheme="minorHAnsi"/>
        </w:rPr>
        <w:t xml:space="preserve">more than </w:t>
      </w:r>
      <w:r w:rsidR="00CD004D" w:rsidRPr="00CB1460">
        <w:rPr>
          <w:rFonts w:asciiTheme="minorHAnsi" w:hAnsiTheme="minorHAnsi"/>
        </w:rPr>
        <w:t>sub</w:t>
      </w:r>
      <w:r w:rsidR="005C7D44" w:rsidRPr="00CB1460">
        <w:rPr>
          <w:rFonts w:asciiTheme="minorHAnsi" w:hAnsiTheme="minorHAnsi"/>
        </w:rPr>
        <w:t xml:space="preserve">prime mortgages, which were at fault. </w:t>
      </w:r>
      <w:r w:rsidR="00115F89" w:rsidRPr="00CB1460">
        <w:rPr>
          <w:rFonts w:asciiTheme="minorHAnsi" w:hAnsiTheme="minorHAnsi"/>
        </w:rPr>
        <w:t>Yes, there was an increase by 2 percent</w:t>
      </w:r>
      <w:r w:rsidR="007E3296" w:rsidRPr="00CB1460">
        <w:rPr>
          <w:rFonts w:asciiTheme="minorHAnsi" w:hAnsiTheme="minorHAnsi"/>
        </w:rPr>
        <w:t xml:space="preserve"> points</w:t>
      </w:r>
      <w:r w:rsidR="00115F89" w:rsidRPr="00CB1460">
        <w:rPr>
          <w:rFonts w:asciiTheme="minorHAnsi" w:hAnsiTheme="minorHAnsi"/>
        </w:rPr>
        <w:t xml:space="preserve"> in subprime foreclosure rates in the immediate run up to the GR. But that meant that only 0.3 percent more mortgages were in foreclosure. </w:t>
      </w:r>
    </w:p>
    <w:p w14:paraId="45BAFD25" w14:textId="77777777" w:rsidR="007A0A14" w:rsidRDefault="007A0A14" w:rsidP="00554E0E">
      <w:pPr>
        <w:jc w:val="both"/>
        <w:rPr>
          <w:rFonts w:asciiTheme="minorHAnsi" w:hAnsiTheme="minorHAnsi"/>
        </w:rPr>
      </w:pPr>
    </w:p>
    <w:p w14:paraId="318E3BC6" w14:textId="6F5A9711" w:rsidR="007A0A14" w:rsidRDefault="00D05370" w:rsidP="00554E0E">
      <w:pPr>
        <w:jc w:val="both"/>
        <w:rPr>
          <w:rFonts w:asciiTheme="minorHAnsi" w:hAnsiTheme="minorHAnsi"/>
        </w:rPr>
      </w:pPr>
      <w:r>
        <w:rPr>
          <w:rFonts w:asciiTheme="minorHAnsi" w:hAnsiTheme="minorHAnsi"/>
        </w:rPr>
        <w:t xml:space="preserve">Another </w:t>
      </w:r>
      <w:r w:rsidR="001D7D02">
        <w:rPr>
          <w:rFonts w:asciiTheme="minorHAnsi" w:hAnsiTheme="minorHAnsi"/>
        </w:rPr>
        <w:t xml:space="preserve">piece of evidence on the actual as opposed to alleged problems with subprime securities comes from the Fed’s purchase </w:t>
      </w:r>
      <w:r w:rsidR="005C23F9">
        <w:rPr>
          <w:rFonts w:asciiTheme="minorHAnsi" w:hAnsiTheme="minorHAnsi"/>
        </w:rPr>
        <w:t>from JP Morgan</w:t>
      </w:r>
      <w:r w:rsidR="00CD43DD">
        <w:rPr>
          <w:rFonts w:asciiTheme="minorHAnsi" w:hAnsiTheme="minorHAnsi"/>
        </w:rPr>
        <w:t xml:space="preserve"> (JPM)</w:t>
      </w:r>
      <w:r w:rsidR="005C23F9">
        <w:rPr>
          <w:rFonts w:asciiTheme="minorHAnsi" w:hAnsiTheme="minorHAnsi"/>
        </w:rPr>
        <w:t xml:space="preserve"> </w:t>
      </w:r>
      <w:r w:rsidR="00A94A7F">
        <w:rPr>
          <w:rFonts w:asciiTheme="minorHAnsi" w:hAnsiTheme="minorHAnsi"/>
        </w:rPr>
        <w:t>of $29</w:t>
      </w:r>
      <w:r w:rsidR="001D7D02">
        <w:rPr>
          <w:rFonts w:asciiTheme="minorHAnsi" w:hAnsiTheme="minorHAnsi"/>
        </w:rPr>
        <w:t xml:space="preserve"> billion worth of </w:t>
      </w:r>
      <w:r w:rsidR="005C23F9">
        <w:rPr>
          <w:rFonts w:asciiTheme="minorHAnsi" w:hAnsiTheme="minorHAnsi"/>
        </w:rPr>
        <w:t xml:space="preserve">Bear’s </w:t>
      </w:r>
      <w:r w:rsidR="001D7D02">
        <w:rPr>
          <w:rFonts w:asciiTheme="minorHAnsi" w:hAnsiTheme="minorHAnsi"/>
        </w:rPr>
        <w:t>subprime secur</w:t>
      </w:r>
      <w:r w:rsidR="00CD43DD">
        <w:rPr>
          <w:rFonts w:asciiTheme="minorHAnsi" w:hAnsiTheme="minorHAnsi"/>
        </w:rPr>
        <w:t>ities as part of its bribing JP</w:t>
      </w:r>
      <w:r w:rsidR="001D7D02">
        <w:rPr>
          <w:rFonts w:asciiTheme="minorHAnsi" w:hAnsiTheme="minorHAnsi"/>
        </w:rPr>
        <w:t>M to buy Bear Ste</w:t>
      </w:r>
      <w:r w:rsidR="007A55D5">
        <w:rPr>
          <w:rFonts w:asciiTheme="minorHAnsi" w:hAnsiTheme="minorHAnsi"/>
        </w:rPr>
        <w:t>a</w:t>
      </w:r>
      <w:r w:rsidR="001D7D02">
        <w:rPr>
          <w:rFonts w:asciiTheme="minorHAnsi" w:hAnsiTheme="minorHAnsi"/>
        </w:rPr>
        <w:t xml:space="preserve">rns for next to nothing. </w:t>
      </w:r>
      <w:r w:rsidR="005C23F9">
        <w:rPr>
          <w:rFonts w:asciiTheme="minorHAnsi" w:hAnsiTheme="minorHAnsi"/>
        </w:rPr>
        <w:t>These assets were place</w:t>
      </w:r>
      <w:r w:rsidR="003C7AB9">
        <w:rPr>
          <w:rFonts w:asciiTheme="minorHAnsi" w:hAnsiTheme="minorHAnsi"/>
        </w:rPr>
        <w:t>d</w:t>
      </w:r>
      <w:r w:rsidR="00D842C8">
        <w:rPr>
          <w:rFonts w:asciiTheme="minorHAnsi" w:hAnsiTheme="minorHAnsi"/>
        </w:rPr>
        <w:t xml:space="preserve"> in a fund called Maiden Lane. </w:t>
      </w:r>
      <w:r>
        <w:rPr>
          <w:rFonts w:asciiTheme="minorHAnsi" w:hAnsiTheme="minorHAnsi"/>
        </w:rPr>
        <w:t xml:space="preserve">The obscure name for this fund </w:t>
      </w:r>
      <w:r w:rsidR="00D842C8">
        <w:rPr>
          <w:rFonts w:asciiTheme="minorHAnsi" w:hAnsiTheme="minorHAnsi"/>
        </w:rPr>
        <w:t>refer</w:t>
      </w:r>
      <w:r>
        <w:rPr>
          <w:rFonts w:asciiTheme="minorHAnsi" w:hAnsiTheme="minorHAnsi"/>
        </w:rPr>
        <w:t xml:space="preserve">ences </w:t>
      </w:r>
      <w:r w:rsidR="00622B94">
        <w:rPr>
          <w:rFonts w:asciiTheme="minorHAnsi" w:hAnsiTheme="minorHAnsi"/>
        </w:rPr>
        <w:t xml:space="preserve">what lays at </w:t>
      </w:r>
      <w:r w:rsidR="00D842C8">
        <w:rPr>
          <w:rFonts w:asciiTheme="minorHAnsi" w:hAnsiTheme="minorHAnsi"/>
        </w:rPr>
        <w:t>the rear end of the NY Federal Reserve</w:t>
      </w:r>
      <w:r w:rsidR="00016267">
        <w:rPr>
          <w:rFonts w:asciiTheme="minorHAnsi" w:hAnsiTheme="minorHAnsi"/>
        </w:rPr>
        <w:t xml:space="preserve">, </w:t>
      </w:r>
      <w:r w:rsidR="00622B94">
        <w:rPr>
          <w:rFonts w:asciiTheme="minorHAnsi" w:hAnsiTheme="minorHAnsi"/>
        </w:rPr>
        <w:t>namely</w:t>
      </w:r>
      <w:r w:rsidR="00016267">
        <w:rPr>
          <w:rFonts w:asciiTheme="minorHAnsi" w:hAnsiTheme="minorHAnsi"/>
        </w:rPr>
        <w:t xml:space="preserve"> Maiden Lane. Was this </w:t>
      </w:r>
      <w:r w:rsidR="00DC7367">
        <w:rPr>
          <w:rFonts w:asciiTheme="minorHAnsi" w:hAnsiTheme="minorHAnsi"/>
        </w:rPr>
        <w:t xml:space="preserve">name </w:t>
      </w:r>
      <w:r w:rsidR="00016267">
        <w:rPr>
          <w:rFonts w:asciiTheme="minorHAnsi" w:hAnsiTheme="minorHAnsi"/>
        </w:rPr>
        <w:t xml:space="preserve">an </w:t>
      </w:r>
      <w:r w:rsidR="00FA1551">
        <w:rPr>
          <w:rFonts w:asciiTheme="minorHAnsi" w:hAnsiTheme="minorHAnsi"/>
        </w:rPr>
        <w:t xml:space="preserve">inside-the-Fed joke suggesting that the </w:t>
      </w:r>
      <w:r w:rsidR="007A55D5">
        <w:rPr>
          <w:rFonts w:asciiTheme="minorHAnsi" w:hAnsiTheme="minorHAnsi"/>
        </w:rPr>
        <w:t xml:space="preserve">Maiden Lane </w:t>
      </w:r>
      <w:r w:rsidR="003C7AB9">
        <w:rPr>
          <w:rFonts w:asciiTheme="minorHAnsi" w:hAnsiTheme="minorHAnsi"/>
        </w:rPr>
        <w:t>assets were</w:t>
      </w:r>
      <w:r w:rsidR="00FA1551">
        <w:rPr>
          <w:rFonts w:asciiTheme="minorHAnsi" w:hAnsiTheme="minorHAnsi"/>
        </w:rPr>
        <w:t xml:space="preserve"> </w:t>
      </w:r>
      <w:r w:rsidR="00C41D3E">
        <w:rPr>
          <w:rFonts w:asciiTheme="minorHAnsi" w:hAnsiTheme="minorHAnsi"/>
        </w:rPr>
        <w:t xml:space="preserve">financial </w:t>
      </w:r>
      <w:r w:rsidR="00A94A7F">
        <w:rPr>
          <w:rFonts w:asciiTheme="minorHAnsi" w:hAnsiTheme="minorHAnsi"/>
        </w:rPr>
        <w:t>excretion</w:t>
      </w:r>
      <w:r w:rsidR="00016267">
        <w:rPr>
          <w:rFonts w:asciiTheme="minorHAnsi" w:hAnsiTheme="minorHAnsi"/>
        </w:rPr>
        <w:t>?</w:t>
      </w:r>
      <w:r w:rsidR="00FA1551">
        <w:rPr>
          <w:rFonts w:asciiTheme="minorHAnsi" w:hAnsiTheme="minorHAnsi"/>
        </w:rPr>
        <w:t xml:space="preserve"> </w:t>
      </w:r>
      <w:r w:rsidR="007A55D5">
        <w:rPr>
          <w:rFonts w:asciiTheme="minorHAnsi" w:hAnsiTheme="minorHAnsi"/>
        </w:rPr>
        <w:t>Certainly, JP</w:t>
      </w:r>
      <w:r w:rsidR="00CD43DD">
        <w:rPr>
          <w:rFonts w:asciiTheme="minorHAnsi" w:hAnsiTheme="minorHAnsi"/>
        </w:rPr>
        <w:t>M</w:t>
      </w:r>
      <w:r w:rsidR="007A55D5">
        <w:rPr>
          <w:rFonts w:asciiTheme="minorHAnsi" w:hAnsiTheme="minorHAnsi"/>
        </w:rPr>
        <w:t xml:space="preserve"> had that view. It refused to purchase Bear Stearns at even $2 per share wit</w:t>
      </w:r>
      <w:r w:rsidR="00A94A7F">
        <w:rPr>
          <w:rFonts w:asciiTheme="minorHAnsi" w:hAnsiTheme="minorHAnsi"/>
        </w:rPr>
        <w:t xml:space="preserve">hout the Fed </w:t>
      </w:r>
      <w:r w:rsidR="00CD43DD">
        <w:rPr>
          <w:rFonts w:asciiTheme="minorHAnsi" w:hAnsiTheme="minorHAnsi"/>
        </w:rPr>
        <w:t xml:space="preserve">first </w:t>
      </w:r>
      <w:r w:rsidR="002E0204">
        <w:rPr>
          <w:rFonts w:asciiTheme="minorHAnsi" w:hAnsiTheme="minorHAnsi"/>
        </w:rPr>
        <w:t>ridding Bear of Bear’s</w:t>
      </w:r>
      <w:r w:rsidR="007A55D5">
        <w:rPr>
          <w:rFonts w:asciiTheme="minorHAnsi" w:hAnsiTheme="minorHAnsi"/>
        </w:rPr>
        <w:t xml:space="preserve"> supposed</w:t>
      </w:r>
      <w:r w:rsidR="00A94A7F">
        <w:rPr>
          <w:rFonts w:asciiTheme="minorHAnsi" w:hAnsiTheme="minorHAnsi"/>
        </w:rPr>
        <w:t>ly</w:t>
      </w:r>
      <w:r w:rsidR="007A55D5">
        <w:rPr>
          <w:rFonts w:asciiTheme="minorHAnsi" w:hAnsiTheme="minorHAnsi"/>
        </w:rPr>
        <w:t xml:space="preserve"> </w:t>
      </w:r>
      <w:r w:rsidR="00016267">
        <w:rPr>
          <w:rFonts w:asciiTheme="minorHAnsi" w:hAnsiTheme="minorHAnsi"/>
        </w:rPr>
        <w:t xml:space="preserve">most toxic of </w:t>
      </w:r>
      <w:r w:rsidR="007A55D5">
        <w:rPr>
          <w:rFonts w:asciiTheme="minorHAnsi" w:hAnsiTheme="minorHAnsi"/>
        </w:rPr>
        <w:t xml:space="preserve">toxic </w:t>
      </w:r>
      <w:r w:rsidR="00016267">
        <w:rPr>
          <w:rFonts w:asciiTheme="minorHAnsi" w:hAnsiTheme="minorHAnsi"/>
        </w:rPr>
        <w:t>suprimes</w:t>
      </w:r>
      <w:r w:rsidR="00984B17">
        <w:rPr>
          <w:rFonts w:asciiTheme="minorHAnsi" w:hAnsiTheme="minorHAnsi"/>
        </w:rPr>
        <w:t>.</w:t>
      </w:r>
    </w:p>
    <w:p w14:paraId="39491272" w14:textId="77777777" w:rsidR="00984B17" w:rsidRDefault="00984B17" w:rsidP="00554E0E">
      <w:pPr>
        <w:jc w:val="both"/>
        <w:rPr>
          <w:rFonts w:asciiTheme="minorHAnsi" w:hAnsiTheme="minorHAnsi"/>
        </w:rPr>
      </w:pPr>
    </w:p>
    <w:p w14:paraId="3F1F9B0C" w14:textId="10D0542C" w:rsidR="00984B17" w:rsidRDefault="00984B17" w:rsidP="00554E0E">
      <w:pPr>
        <w:jc w:val="both"/>
        <w:rPr>
          <w:rFonts w:asciiTheme="minorHAnsi" w:hAnsiTheme="minorHAnsi"/>
        </w:rPr>
      </w:pPr>
      <w:r>
        <w:rPr>
          <w:rFonts w:asciiTheme="minorHAnsi" w:hAnsiTheme="minorHAnsi"/>
        </w:rPr>
        <w:t xml:space="preserve">In the event, </w:t>
      </w:r>
      <w:r w:rsidR="002E0204">
        <w:rPr>
          <w:rFonts w:asciiTheme="minorHAnsi" w:hAnsiTheme="minorHAnsi"/>
        </w:rPr>
        <w:t>Maiden Lane’s collection of sub subprime mortgages didn’t lose a penny</w:t>
      </w:r>
      <w:r w:rsidR="00437ADC">
        <w:rPr>
          <w:rFonts w:asciiTheme="minorHAnsi" w:hAnsiTheme="minorHAnsi"/>
        </w:rPr>
        <w:t>. Indeed, the</w:t>
      </w:r>
      <w:r w:rsidR="00A94A7F">
        <w:rPr>
          <w:rFonts w:asciiTheme="minorHAnsi" w:hAnsiTheme="minorHAnsi"/>
        </w:rPr>
        <w:t xml:space="preserve"> Fed’s $29</w:t>
      </w:r>
      <w:r w:rsidR="002A4AC9">
        <w:rPr>
          <w:rFonts w:asciiTheme="minorHAnsi" w:hAnsiTheme="minorHAnsi"/>
        </w:rPr>
        <w:t xml:space="preserve"> billion </w:t>
      </w:r>
      <w:r w:rsidR="00D05370">
        <w:rPr>
          <w:rFonts w:asciiTheme="minorHAnsi" w:hAnsiTheme="minorHAnsi"/>
        </w:rPr>
        <w:t xml:space="preserve">investment repaid </w:t>
      </w:r>
      <w:r w:rsidR="002A4AC9">
        <w:rPr>
          <w:rFonts w:asciiTheme="minorHAnsi" w:hAnsiTheme="minorHAnsi"/>
        </w:rPr>
        <w:t xml:space="preserve">$31.5 </w:t>
      </w:r>
      <w:r w:rsidR="00D05370">
        <w:rPr>
          <w:rFonts w:asciiTheme="minorHAnsi" w:hAnsiTheme="minorHAnsi"/>
        </w:rPr>
        <w:t xml:space="preserve">billion over the following decade for a $2.5 </w:t>
      </w:r>
      <w:r w:rsidR="00437ADC">
        <w:rPr>
          <w:rFonts w:asciiTheme="minorHAnsi" w:hAnsiTheme="minorHAnsi"/>
        </w:rPr>
        <w:t xml:space="preserve">billion </w:t>
      </w:r>
      <w:r w:rsidR="00214A5F">
        <w:rPr>
          <w:rFonts w:asciiTheme="minorHAnsi" w:hAnsiTheme="minorHAnsi"/>
        </w:rPr>
        <w:t>gain</w:t>
      </w:r>
      <w:r w:rsidR="00437ADC">
        <w:rPr>
          <w:rFonts w:asciiTheme="minorHAnsi" w:hAnsiTheme="minorHAnsi"/>
        </w:rPr>
        <w:t>.</w:t>
      </w:r>
      <w:r w:rsidR="00D05370">
        <w:rPr>
          <w:rStyle w:val="FootnoteReference"/>
          <w:rFonts w:asciiTheme="minorHAnsi" w:hAnsiTheme="minorHAnsi"/>
        </w:rPr>
        <w:footnoteReference w:id="8"/>
      </w:r>
      <w:r w:rsidR="00437ADC">
        <w:rPr>
          <w:rFonts w:asciiTheme="minorHAnsi" w:hAnsiTheme="minorHAnsi"/>
        </w:rPr>
        <w:t xml:space="preserve"> </w:t>
      </w:r>
      <w:r w:rsidR="00DB347C">
        <w:rPr>
          <w:rFonts w:asciiTheme="minorHAnsi" w:hAnsiTheme="minorHAnsi"/>
        </w:rPr>
        <w:t xml:space="preserve">The fact that this figure is positive is remarkable given </w:t>
      </w:r>
      <w:r w:rsidR="00853F83">
        <w:rPr>
          <w:rFonts w:asciiTheme="minorHAnsi" w:hAnsiTheme="minorHAnsi"/>
        </w:rPr>
        <w:t xml:space="preserve">the GR-induced rise in subprime foreclosures. </w:t>
      </w:r>
      <w:r w:rsidR="00214A5F">
        <w:rPr>
          <w:rFonts w:asciiTheme="minorHAnsi" w:hAnsiTheme="minorHAnsi"/>
        </w:rPr>
        <w:t xml:space="preserve">Moreover, </w:t>
      </w:r>
      <w:r w:rsidR="00DB347C">
        <w:rPr>
          <w:rFonts w:asciiTheme="minorHAnsi" w:hAnsiTheme="minorHAnsi"/>
        </w:rPr>
        <w:t xml:space="preserve">the Fed </w:t>
      </w:r>
      <w:r w:rsidR="00214A5F">
        <w:rPr>
          <w:rFonts w:asciiTheme="minorHAnsi" w:hAnsiTheme="minorHAnsi"/>
        </w:rPr>
        <w:t xml:space="preserve">clearly </w:t>
      </w:r>
      <w:r w:rsidR="00DB347C">
        <w:rPr>
          <w:rFonts w:asciiTheme="minorHAnsi" w:hAnsiTheme="minorHAnsi"/>
        </w:rPr>
        <w:t xml:space="preserve">overpaid </w:t>
      </w:r>
      <w:r w:rsidR="0018551B">
        <w:rPr>
          <w:rFonts w:asciiTheme="minorHAnsi" w:hAnsiTheme="minorHAnsi"/>
        </w:rPr>
        <w:t>for these ass</w:t>
      </w:r>
      <w:r w:rsidR="001F5993">
        <w:rPr>
          <w:rFonts w:asciiTheme="minorHAnsi" w:hAnsiTheme="minorHAnsi"/>
        </w:rPr>
        <w:t>ets. Certainly, JP Morgan didn’t want to get</w:t>
      </w:r>
      <w:r w:rsidR="00214A5F">
        <w:rPr>
          <w:rFonts w:asciiTheme="minorHAnsi" w:hAnsiTheme="minorHAnsi"/>
        </w:rPr>
        <w:t xml:space="preserve"> anywhere</w:t>
      </w:r>
      <w:r w:rsidR="001F5993">
        <w:rPr>
          <w:rFonts w:asciiTheme="minorHAnsi" w:hAnsiTheme="minorHAnsi"/>
        </w:rPr>
        <w:t xml:space="preserve"> near them. </w:t>
      </w:r>
      <w:r w:rsidR="00CD43DD">
        <w:rPr>
          <w:rFonts w:asciiTheme="minorHAnsi" w:hAnsiTheme="minorHAnsi"/>
        </w:rPr>
        <w:t>If they were really worth the $29 billion investment, JPM</w:t>
      </w:r>
      <w:r w:rsidR="00214A5F">
        <w:rPr>
          <w:rFonts w:asciiTheme="minorHAnsi" w:hAnsiTheme="minorHAnsi"/>
        </w:rPr>
        <w:t xml:space="preserve"> would have readily acquired and resold them. </w:t>
      </w:r>
      <w:r w:rsidR="001712FE">
        <w:rPr>
          <w:rFonts w:asciiTheme="minorHAnsi" w:hAnsiTheme="minorHAnsi"/>
        </w:rPr>
        <w:t>Suppose, that these assets were worth only</w:t>
      </w:r>
      <w:r w:rsidR="004A0909">
        <w:rPr>
          <w:rFonts w:asciiTheme="minorHAnsi" w:hAnsiTheme="minorHAnsi"/>
        </w:rPr>
        <w:t xml:space="preserve"> $15 billion </w:t>
      </w:r>
      <w:r w:rsidR="001712FE">
        <w:rPr>
          <w:rFonts w:asciiTheme="minorHAnsi" w:hAnsiTheme="minorHAnsi"/>
        </w:rPr>
        <w:t>at the time of their purchase. I.e., suppose th</w:t>
      </w:r>
      <w:r w:rsidR="007D5F72">
        <w:rPr>
          <w:rFonts w:asciiTheme="minorHAnsi" w:hAnsiTheme="minorHAnsi"/>
        </w:rPr>
        <w:t>at the Fed paid JPM $14 billion</w:t>
      </w:r>
      <w:r w:rsidR="001712FE">
        <w:rPr>
          <w:rFonts w:asciiTheme="minorHAnsi" w:hAnsiTheme="minorHAnsi"/>
        </w:rPr>
        <w:t xml:space="preserve"> through the back door (with its overpayment another possible explanation for the name Maiden Lane</w:t>
      </w:r>
      <w:r w:rsidR="0093438F">
        <w:rPr>
          <w:rFonts w:asciiTheme="minorHAnsi" w:hAnsiTheme="minorHAnsi"/>
        </w:rPr>
        <w:t>, which literally ran past the NY Fed’s back door</w:t>
      </w:r>
      <w:r w:rsidR="001712FE">
        <w:rPr>
          <w:rFonts w:asciiTheme="minorHAnsi" w:hAnsiTheme="minorHAnsi"/>
        </w:rPr>
        <w:t xml:space="preserve">), then the ex-post return earned on these securities was sensational. </w:t>
      </w:r>
    </w:p>
    <w:p w14:paraId="09E9FA71" w14:textId="77777777" w:rsidR="005553B9" w:rsidRPr="00CB1460" w:rsidRDefault="005553B9" w:rsidP="00554E0E">
      <w:pPr>
        <w:jc w:val="both"/>
        <w:rPr>
          <w:rFonts w:asciiTheme="minorHAnsi" w:hAnsiTheme="minorHAnsi"/>
        </w:rPr>
      </w:pPr>
    </w:p>
    <w:p w14:paraId="28C26E67" w14:textId="0BFF8731" w:rsidR="00031780" w:rsidRPr="00CB1460" w:rsidRDefault="0063286A" w:rsidP="00554E0E">
      <w:pPr>
        <w:jc w:val="both"/>
        <w:rPr>
          <w:rFonts w:asciiTheme="minorHAnsi" w:hAnsiTheme="minorHAnsi"/>
        </w:rPr>
      </w:pPr>
      <w:r w:rsidRPr="00CB1460">
        <w:rPr>
          <w:rFonts w:asciiTheme="minorHAnsi" w:hAnsiTheme="minorHAnsi"/>
        </w:rPr>
        <w:t xml:space="preserve">If subprimes </w:t>
      </w:r>
      <w:r w:rsidR="00622B94">
        <w:rPr>
          <w:rFonts w:asciiTheme="minorHAnsi" w:hAnsiTheme="minorHAnsi"/>
        </w:rPr>
        <w:t>were irrationally</w:t>
      </w:r>
      <w:r w:rsidR="0093438F">
        <w:rPr>
          <w:rFonts w:asciiTheme="minorHAnsi" w:hAnsiTheme="minorHAnsi"/>
        </w:rPr>
        <w:t>, if not dramatically</w:t>
      </w:r>
      <w:r w:rsidR="00622B94">
        <w:rPr>
          <w:rFonts w:asciiTheme="minorHAnsi" w:hAnsiTheme="minorHAnsi"/>
        </w:rPr>
        <w:t xml:space="preserve"> undervalued and </w:t>
      </w:r>
      <w:r w:rsidRPr="00CB1460">
        <w:rPr>
          <w:rFonts w:asciiTheme="minorHAnsi" w:hAnsiTheme="minorHAnsi"/>
        </w:rPr>
        <w:t xml:space="preserve">weren’t the proximate cause of the GR, what about the FCIC’s </w:t>
      </w:r>
      <w:r w:rsidR="00A93854" w:rsidRPr="00CB1460">
        <w:rPr>
          <w:rFonts w:asciiTheme="minorHAnsi" w:hAnsiTheme="minorHAnsi"/>
        </w:rPr>
        <w:t xml:space="preserve">and </w:t>
      </w:r>
      <w:r w:rsidRPr="00CB1460">
        <w:rPr>
          <w:rFonts w:asciiTheme="minorHAnsi" w:hAnsiTheme="minorHAnsi"/>
        </w:rPr>
        <w:t>other</w:t>
      </w:r>
      <w:r w:rsidR="00A93854" w:rsidRPr="00CB1460">
        <w:rPr>
          <w:rFonts w:asciiTheme="minorHAnsi" w:hAnsiTheme="minorHAnsi"/>
        </w:rPr>
        <w:t xml:space="preserve"> alleged</w:t>
      </w:r>
      <w:r w:rsidRPr="00CB1460">
        <w:rPr>
          <w:rFonts w:asciiTheme="minorHAnsi" w:hAnsiTheme="minorHAnsi"/>
        </w:rPr>
        <w:t xml:space="preserve"> boogeymen? </w:t>
      </w:r>
    </w:p>
    <w:p w14:paraId="2F9B1145" w14:textId="77777777" w:rsidR="005C4F4B" w:rsidRPr="00CB1460" w:rsidRDefault="005C4F4B" w:rsidP="00554E0E">
      <w:pPr>
        <w:jc w:val="both"/>
        <w:rPr>
          <w:rFonts w:asciiTheme="minorHAnsi" w:hAnsiTheme="minorHAnsi"/>
          <w:b/>
        </w:rPr>
      </w:pPr>
    </w:p>
    <w:p w14:paraId="3A5AAAD7" w14:textId="36BDAF4F" w:rsidR="001934CC" w:rsidRPr="00CB1460" w:rsidRDefault="0063286A" w:rsidP="00554E0E">
      <w:pPr>
        <w:jc w:val="both"/>
        <w:rPr>
          <w:rFonts w:asciiTheme="minorHAnsi" w:hAnsiTheme="minorHAnsi"/>
          <w:b/>
        </w:rPr>
      </w:pPr>
      <w:r w:rsidRPr="00CB1460">
        <w:rPr>
          <w:rFonts w:asciiTheme="minorHAnsi" w:hAnsiTheme="minorHAnsi"/>
          <w:b/>
        </w:rPr>
        <w:t>The “Unsustainable” Rise in Housing Prices</w:t>
      </w:r>
    </w:p>
    <w:p w14:paraId="0926F4AE" w14:textId="77777777" w:rsidR="00916F99" w:rsidRPr="00CB1460" w:rsidRDefault="00CC49DE" w:rsidP="00554E0E">
      <w:pPr>
        <w:jc w:val="both"/>
        <w:rPr>
          <w:rFonts w:asciiTheme="minorHAnsi" w:hAnsiTheme="minorHAnsi"/>
        </w:rPr>
      </w:pPr>
      <w:r w:rsidRPr="00CB1460">
        <w:rPr>
          <w:rFonts w:asciiTheme="minorHAnsi" w:hAnsiTheme="minorHAnsi"/>
        </w:rPr>
        <w:t xml:space="preserve">The FCIC’s statement that the rise in </w:t>
      </w:r>
      <w:r w:rsidR="001F714C" w:rsidRPr="00CB1460">
        <w:rPr>
          <w:rFonts w:asciiTheme="minorHAnsi" w:hAnsiTheme="minorHAnsi"/>
        </w:rPr>
        <w:t xml:space="preserve">house prices was unsustainable </w:t>
      </w:r>
      <w:r w:rsidRPr="00CB1460">
        <w:rPr>
          <w:rFonts w:asciiTheme="minorHAnsi" w:hAnsiTheme="minorHAnsi"/>
        </w:rPr>
        <w:t xml:space="preserve">suggests </w:t>
      </w:r>
      <w:r w:rsidR="001F714C" w:rsidRPr="00CB1460">
        <w:rPr>
          <w:rFonts w:asciiTheme="minorHAnsi" w:hAnsiTheme="minorHAnsi"/>
        </w:rPr>
        <w:t xml:space="preserve">that house prices </w:t>
      </w:r>
      <w:r w:rsidR="009817FD" w:rsidRPr="00CB1460">
        <w:rPr>
          <w:rFonts w:asciiTheme="minorHAnsi" w:hAnsiTheme="minorHAnsi"/>
        </w:rPr>
        <w:t xml:space="preserve">can’t keep rising over long periods and were going absolutely crazy prior to the GR. In fact, real </w:t>
      </w:r>
      <w:r w:rsidR="009817FD" w:rsidRPr="00CB1460">
        <w:rPr>
          <w:rFonts w:asciiTheme="minorHAnsi" w:hAnsiTheme="minorHAnsi"/>
        </w:rPr>
        <w:lastRenderedPageBreak/>
        <w:t>house prices can rise for years</w:t>
      </w:r>
      <w:r w:rsidR="00146EC8" w:rsidRPr="00CB1460">
        <w:rPr>
          <w:rFonts w:asciiTheme="minorHAnsi" w:hAnsiTheme="minorHAnsi"/>
        </w:rPr>
        <w:t>, indeed, decades</w:t>
      </w:r>
      <w:r w:rsidR="009817FD" w:rsidRPr="00CB1460">
        <w:rPr>
          <w:rFonts w:asciiTheme="minorHAnsi" w:hAnsiTheme="minorHAnsi"/>
        </w:rPr>
        <w:t xml:space="preserve">. They did so essentially every year for the </w:t>
      </w:r>
      <w:r w:rsidR="001E0A3F" w:rsidRPr="00CB1460">
        <w:rPr>
          <w:rFonts w:asciiTheme="minorHAnsi" w:hAnsiTheme="minorHAnsi"/>
        </w:rPr>
        <w:t>32 years between Q1</w:t>
      </w:r>
      <w:r w:rsidR="009817FD" w:rsidRPr="00CB1460">
        <w:rPr>
          <w:rFonts w:asciiTheme="minorHAnsi" w:hAnsiTheme="minorHAnsi"/>
        </w:rPr>
        <w:t xml:space="preserve"> </w:t>
      </w:r>
      <w:r w:rsidR="001E0A3F" w:rsidRPr="00CB1460">
        <w:rPr>
          <w:rFonts w:asciiTheme="minorHAnsi" w:hAnsiTheme="minorHAnsi"/>
        </w:rPr>
        <w:t xml:space="preserve">1975 and Q1 </w:t>
      </w:r>
      <w:r w:rsidR="009817FD" w:rsidRPr="00CB1460">
        <w:rPr>
          <w:rFonts w:asciiTheme="minorHAnsi" w:hAnsiTheme="minorHAnsi"/>
        </w:rPr>
        <w:t>2007.</w:t>
      </w:r>
      <w:r w:rsidR="009817FD" w:rsidRPr="00CB1460">
        <w:rPr>
          <w:rStyle w:val="FootnoteReference"/>
          <w:rFonts w:asciiTheme="minorHAnsi" w:hAnsiTheme="minorHAnsi"/>
        </w:rPr>
        <w:footnoteReference w:id="9"/>
      </w:r>
      <w:r w:rsidR="009817FD" w:rsidRPr="00CB1460">
        <w:rPr>
          <w:rFonts w:asciiTheme="minorHAnsi" w:hAnsiTheme="minorHAnsi"/>
        </w:rPr>
        <w:t xml:space="preserve"> </w:t>
      </w:r>
      <w:r w:rsidR="00525A71" w:rsidRPr="00CB1460">
        <w:rPr>
          <w:rFonts w:asciiTheme="minorHAnsi" w:hAnsiTheme="minorHAnsi"/>
        </w:rPr>
        <w:t>While the rise was very smooth, it was also gradua</w:t>
      </w:r>
      <w:r w:rsidR="00001B5F" w:rsidRPr="00CB1460">
        <w:rPr>
          <w:rFonts w:asciiTheme="minorHAnsi" w:hAnsiTheme="minorHAnsi"/>
        </w:rPr>
        <w:t>l with real house prices only 64</w:t>
      </w:r>
      <w:r w:rsidR="00525A71" w:rsidRPr="00CB1460">
        <w:rPr>
          <w:rFonts w:asciiTheme="minorHAnsi" w:hAnsiTheme="minorHAnsi"/>
        </w:rPr>
        <w:t xml:space="preserve"> percent higher in Q1 2007 than they were in Q</w:t>
      </w:r>
      <w:r w:rsidR="00642CD2" w:rsidRPr="00CB1460">
        <w:rPr>
          <w:rFonts w:asciiTheme="minorHAnsi" w:hAnsiTheme="minorHAnsi"/>
        </w:rPr>
        <w:t>1 1975 – this despite real GDP rising by 170 percent over the same interval.</w:t>
      </w:r>
      <w:r w:rsidR="00525A71" w:rsidRPr="00CB1460">
        <w:rPr>
          <w:rFonts w:asciiTheme="minorHAnsi" w:hAnsiTheme="minorHAnsi"/>
        </w:rPr>
        <w:t xml:space="preserve"> </w:t>
      </w:r>
    </w:p>
    <w:p w14:paraId="3754F3DE" w14:textId="77777777" w:rsidR="00916F99" w:rsidRPr="00CB1460" w:rsidRDefault="00916F99" w:rsidP="00554E0E">
      <w:pPr>
        <w:jc w:val="both"/>
        <w:rPr>
          <w:rFonts w:asciiTheme="minorHAnsi" w:hAnsiTheme="minorHAnsi"/>
        </w:rPr>
      </w:pPr>
    </w:p>
    <w:p w14:paraId="13E1FCDA" w14:textId="511C6D47" w:rsidR="00C66338" w:rsidRPr="00CB1460" w:rsidRDefault="00001B5F" w:rsidP="00554E0E">
      <w:pPr>
        <w:jc w:val="both"/>
        <w:rPr>
          <w:rFonts w:asciiTheme="minorHAnsi" w:hAnsiTheme="minorHAnsi"/>
        </w:rPr>
      </w:pPr>
      <w:r w:rsidRPr="00CB1460">
        <w:rPr>
          <w:rFonts w:asciiTheme="minorHAnsi" w:hAnsiTheme="minorHAnsi"/>
        </w:rPr>
        <w:t xml:space="preserve">The only period of </w:t>
      </w:r>
      <w:r w:rsidR="00C66338" w:rsidRPr="00CB1460">
        <w:rPr>
          <w:rFonts w:asciiTheme="minorHAnsi" w:hAnsiTheme="minorHAnsi"/>
        </w:rPr>
        <w:t xml:space="preserve">a fast </w:t>
      </w:r>
      <w:r w:rsidRPr="00CB1460">
        <w:rPr>
          <w:rFonts w:asciiTheme="minorHAnsi" w:hAnsiTheme="minorHAnsi"/>
        </w:rPr>
        <w:t xml:space="preserve">rise in real house prices </w:t>
      </w:r>
      <w:r w:rsidR="00614469" w:rsidRPr="00CB1460">
        <w:rPr>
          <w:rFonts w:asciiTheme="minorHAnsi" w:hAnsiTheme="minorHAnsi"/>
        </w:rPr>
        <w:t xml:space="preserve">in this 32-year period </w:t>
      </w:r>
      <w:r w:rsidRPr="00CB1460">
        <w:rPr>
          <w:rFonts w:asciiTheme="minorHAnsi" w:hAnsiTheme="minorHAnsi"/>
        </w:rPr>
        <w:t>occurred between Q1 2003 and Q1</w:t>
      </w:r>
      <w:r w:rsidR="00614469" w:rsidRPr="00CB1460">
        <w:rPr>
          <w:rFonts w:asciiTheme="minorHAnsi" w:hAnsiTheme="minorHAnsi"/>
        </w:rPr>
        <w:t xml:space="preserve"> 2007</w:t>
      </w:r>
      <w:r w:rsidRPr="00CB1460">
        <w:rPr>
          <w:rFonts w:asciiTheme="minorHAnsi" w:hAnsiTheme="minorHAnsi"/>
        </w:rPr>
        <w:t xml:space="preserve"> when real house prices rose by 22 percent. </w:t>
      </w:r>
      <w:r w:rsidR="004832B5" w:rsidRPr="00CB1460">
        <w:rPr>
          <w:rFonts w:asciiTheme="minorHAnsi" w:hAnsiTheme="minorHAnsi"/>
        </w:rPr>
        <w:t>But during this period real GDP rose by 14 percent. Hence, real house prices rose only 2 percent faster per year than</w:t>
      </w:r>
      <w:r w:rsidR="00916F99" w:rsidRPr="00CB1460">
        <w:rPr>
          <w:rFonts w:asciiTheme="minorHAnsi" w:hAnsiTheme="minorHAnsi"/>
        </w:rPr>
        <w:t xml:space="preserve"> did</w:t>
      </w:r>
      <w:r w:rsidR="004832B5" w:rsidRPr="00CB1460">
        <w:rPr>
          <w:rFonts w:asciiTheme="minorHAnsi" w:hAnsiTheme="minorHAnsi"/>
        </w:rPr>
        <w:t xml:space="preserve"> the economy during the period of “unsustainable” house price increases.  </w:t>
      </w:r>
    </w:p>
    <w:p w14:paraId="31FEACE5" w14:textId="77777777" w:rsidR="00C66338" w:rsidRPr="00CB1460" w:rsidRDefault="00C66338" w:rsidP="00554E0E">
      <w:pPr>
        <w:jc w:val="both"/>
        <w:rPr>
          <w:rFonts w:asciiTheme="minorHAnsi" w:hAnsiTheme="minorHAnsi"/>
        </w:rPr>
      </w:pPr>
    </w:p>
    <w:p w14:paraId="526BFF7E" w14:textId="363A5138" w:rsidR="00C66338" w:rsidRPr="00CB1460" w:rsidRDefault="00C66338" w:rsidP="00554E0E">
      <w:pPr>
        <w:jc w:val="both"/>
        <w:rPr>
          <w:rFonts w:asciiTheme="minorHAnsi" w:hAnsiTheme="minorHAnsi"/>
        </w:rPr>
      </w:pPr>
      <w:r w:rsidRPr="00CB1460">
        <w:rPr>
          <w:rFonts w:asciiTheme="minorHAnsi" w:hAnsiTheme="minorHAnsi"/>
        </w:rPr>
        <w:t>One can write down models with a fixed supply of housing in which house prices will rise</w:t>
      </w:r>
      <w:r w:rsidR="005B7833" w:rsidRPr="00CB1460">
        <w:rPr>
          <w:rFonts w:asciiTheme="minorHAnsi" w:hAnsiTheme="minorHAnsi"/>
        </w:rPr>
        <w:t xml:space="preserve"> </w:t>
      </w:r>
      <w:r w:rsidR="00375255" w:rsidRPr="00CB1460">
        <w:rPr>
          <w:rFonts w:asciiTheme="minorHAnsi" w:hAnsiTheme="minorHAnsi"/>
        </w:rPr>
        <w:t>pari passu</w:t>
      </w:r>
      <w:r w:rsidR="000E7878" w:rsidRPr="00CB1460">
        <w:rPr>
          <w:rFonts w:asciiTheme="minorHAnsi" w:hAnsiTheme="minorHAnsi"/>
        </w:rPr>
        <w:t xml:space="preserve"> with output, at least in the long run. One can also write down models in which there is a variable supply of housing and the price of housing stays fixed, while the quantity of housing rises with output. As our economy has become more urbanized, the fixed supply of housing model, which partly references fixed central city urban land, is arguably becoming more relevant and hel</w:t>
      </w:r>
      <w:r w:rsidR="00375255" w:rsidRPr="00CB1460">
        <w:rPr>
          <w:rFonts w:asciiTheme="minorHAnsi" w:hAnsiTheme="minorHAnsi"/>
        </w:rPr>
        <w:t>ps explain the more rapid house-</w:t>
      </w:r>
      <w:r w:rsidR="000E7878" w:rsidRPr="00CB1460">
        <w:rPr>
          <w:rFonts w:asciiTheme="minorHAnsi" w:hAnsiTheme="minorHAnsi"/>
        </w:rPr>
        <w:t xml:space="preserve">price increases </w:t>
      </w:r>
      <w:r w:rsidR="00375255" w:rsidRPr="00CB1460">
        <w:rPr>
          <w:rFonts w:asciiTheme="minorHAnsi" w:hAnsiTheme="minorHAnsi"/>
        </w:rPr>
        <w:t xml:space="preserve">that </w:t>
      </w:r>
      <w:r w:rsidR="000E7878" w:rsidRPr="00CB1460">
        <w:rPr>
          <w:rFonts w:asciiTheme="minorHAnsi" w:hAnsiTheme="minorHAnsi"/>
        </w:rPr>
        <w:t xml:space="preserve">we’ve seen in the years immediately proceeding and following the GR. </w:t>
      </w:r>
    </w:p>
    <w:p w14:paraId="600DEC9A" w14:textId="77777777" w:rsidR="00C66338" w:rsidRPr="00CB1460" w:rsidRDefault="00C66338" w:rsidP="00554E0E">
      <w:pPr>
        <w:jc w:val="both"/>
        <w:rPr>
          <w:rFonts w:asciiTheme="minorHAnsi" w:hAnsiTheme="minorHAnsi"/>
        </w:rPr>
      </w:pPr>
    </w:p>
    <w:p w14:paraId="5C8A082C" w14:textId="29178170" w:rsidR="00654387" w:rsidRPr="00CB1460" w:rsidRDefault="000E7878" w:rsidP="00554E0E">
      <w:pPr>
        <w:jc w:val="both"/>
        <w:rPr>
          <w:rFonts w:asciiTheme="minorHAnsi" w:hAnsiTheme="minorHAnsi"/>
        </w:rPr>
      </w:pPr>
      <w:r w:rsidRPr="00CB1460">
        <w:rPr>
          <w:rFonts w:asciiTheme="minorHAnsi" w:hAnsiTheme="minorHAnsi"/>
        </w:rPr>
        <w:t xml:space="preserve">In short, </w:t>
      </w:r>
      <w:r w:rsidR="00916F99" w:rsidRPr="00CB1460">
        <w:rPr>
          <w:rFonts w:asciiTheme="minorHAnsi" w:hAnsiTheme="minorHAnsi"/>
        </w:rPr>
        <w:t>reasonable economic models</w:t>
      </w:r>
      <w:r w:rsidR="00614469" w:rsidRPr="00CB1460">
        <w:rPr>
          <w:rFonts w:asciiTheme="minorHAnsi" w:hAnsiTheme="minorHAnsi"/>
        </w:rPr>
        <w:t xml:space="preserve"> </w:t>
      </w:r>
      <w:r w:rsidR="00C61DE3" w:rsidRPr="00CB1460">
        <w:rPr>
          <w:rFonts w:asciiTheme="minorHAnsi" w:hAnsiTheme="minorHAnsi"/>
        </w:rPr>
        <w:t>can readily debunk</w:t>
      </w:r>
      <w:r w:rsidR="00916F99" w:rsidRPr="00CB1460">
        <w:rPr>
          <w:rFonts w:asciiTheme="minorHAnsi" w:hAnsiTheme="minorHAnsi"/>
        </w:rPr>
        <w:t xml:space="preserve"> or at least strongly question</w:t>
      </w:r>
      <w:r w:rsidRPr="00CB1460">
        <w:rPr>
          <w:rFonts w:asciiTheme="minorHAnsi" w:hAnsiTheme="minorHAnsi"/>
        </w:rPr>
        <w:t xml:space="preserve"> the view that </w:t>
      </w:r>
      <w:r w:rsidR="007B4E92" w:rsidRPr="00CB1460">
        <w:rPr>
          <w:rFonts w:asciiTheme="minorHAnsi" w:hAnsiTheme="minorHAnsi"/>
        </w:rPr>
        <w:t xml:space="preserve">house prices rising </w:t>
      </w:r>
      <w:r w:rsidR="00614469" w:rsidRPr="00CB1460">
        <w:rPr>
          <w:rFonts w:asciiTheme="minorHAnsi" w:hAnsiTheme="minorHAnsi"/>
        </w:rPr>
        <w:t xml:space="preserve">2 percentage points </w:t>
      </w:r>
      <w:r w:rsidR="007B4E92" w:rsidRPr="00CB1460">
        <w:rPr>
          <w:rFonts w:asciiTheme="minorHAnsi" w:hAnsiTheme="minorHAnsi"/>
        </w:rPr>
        <w:t xml:space="preserve">faster than the economy </w:t>
      </w:r>
      <w:r w:rsidR="00614469" w:rsidRPr="00CB1460">
        <w:rPr>
          <w:rFonts w:asciiTheme="minorHAnsi" w:hAnsiTheme="minorHAnsi"/>
        </w:rPr>
        <w:t>for four years after rising far more slowly for the previous 28 years is “unsustainable.”</w:t>
      </w:r>
      <w:r w:rsidR="00C61DE3" w:rsidRPr="00CB1460">
        <w:rPr>
          <w:rFonts w:asciiTheme="minorHAnsi" w:hAnsiTheme="minorHAnsi"/>
        </w:rPr>
        <w:t xml:space="preserve"> Indeed, w</w:t>
      </w:r>
      <w:r w:rsidR="00614469" w:rsidRPr="00CB1460">
        <w:rPr>
          <w:rFonts w:asciiTheme="minorHAnsi" w:hAnsiTheme="minorHAnsi"/>
        </w:rPr>
        <w:t>h</w:t>
      </w:r>
      <w:r w:rsidR="00375255" w:rsidRPr="00CB1460">
        <w:rPr>
          <w:rFonts w:asciiTheme="minorHAnsi" w:hAnsiTheme="minorHAnsi"/>
        </w:rPr>
        <w:t>at the FCIC viewed as a housing-</w:t>
      </w:r>
      <w:r w:rsidR="00614469" w:rsidRPr="00CB1460">
        <w:rPr>
          <w:rFonts w:asciiTheme="minorHAnsi" w:hAnsiTheme="minorHAnsi"/>
        </w:rPr>
        <w:t xml:space="preserve">price bubble </w:t>
      </w:r>
      <w:r w:rsidR="00C61DE3" w:rsidRPr="00CB1460">
        <w:rPr>
          <w:rFonts w:asciiTheme="minorHAnsi" w:hAnsiTheme="minorHAnsi"/>
        </w:rPr>
        <w:t xml:space="preserve">might better </w:t>
      </w:r>
      <w:r w:rsidR="001E0A3F" w:rsidRPr="00CB1460">
        <w:rPr>
          <w:rFonts w:asciiTheme="minorHAnsi" w:hAnsiTheme="minorHAnsi"/>
        </w:rPr>
        <w:t xml:space="preserve">be described as a period of normal </w:t>
      </w:r>
      <w:r w:rsidR="007B709B" w:rsidRPr="00CB1460">
        <w:rPr>
          <w:rFonts w:asciiTheme="minorHAnsi" w:hAnsiTheme="minorHAnsi"/>
        </w:rPr>
        <w:t>housing-price increases</w:t>
      </w:r>
      <w:r w:rsidR="001E0A3F" w:rsidRPr="00CB1460">
        <w:rPr>
          <w:rFonts w:asciiTheme="minorHAnsi" w:hAnsiTheme="minorHAnsi"/>
        </w:rPr>
        <w:t xml:space="preserve"> following 28 years of abnormally low </w:t>
      </w:r>
      <w:r w:rsidR="007B709B" w:rsidRPr="00CB1460">
        <w:rPr>
          <w:rFonts w:asciiTheme="minorHAnsi" w:hAnsiTheme="minorHAnsi"/>
        </w:rPr>
        <w:t>housing-</w:t>
      </w:r>
      <w:r w:rsidR="001E0A3F" w:rsidRPr="00CB1460">
        <w:rPr>
          <w:rFonts w:asciiTheme="minorHAnsi" w:hAnsiTheme="minorHAnsi"/>
        </w:rPr>
        <w:t xml:space="preserve">price </w:t>
      </w:r>
      <w:r w:rsidR="007B709B" w:rsidRPr="00CB1460">
        <w:rPr>
          <w:rFonts w:asciiTheme="minorHAnsi" w:hAnsiTheme="minorHAnsi"/>
        </w:rPr>
        <w:t xml:space="preserve">increases. </w:t>
      </w:r>
    </w:p>
    <w:p w14:paraId="727C3F52" w14:textId="77777777" w:rsidR="001E0A3F" w:rsidRPr="00CB1460" w:rsidRDefault="001E0A3F" w:rsidP="00554E0E">
      <w:pPr>
        <w:jc w:val="both"/>
        <w:rPr>
          <w:rFonts w:asciiTheme="minorHAnsi" w:hAnsiTheme="minorHAnsi"/>
        </w:rPr>
      </w:pPr>
    </w:p>
    <w:p w14:paraId="129C2C35" w14:textId="177EC7DB" w:rsidR="006D5413" w:rsidRPr="00CB1460" w:rsidRDefault="00C61DE3" w:rsidP="00554E0E">
      <w:pPr>
        <w:jc w:val="both"/>
        <w:rPr>
          <w:rFonts w:asciiTheme="minorHAnsi" w:hAnsiTheme="minorHAnsi"/>
        </w:rPr>
      </w:pPr>
      <w:r w:rsidRPr="00CB1460">
        <w:rPr>
          <w:rFonts w:asciiTheme="minorHAnsi" w:hAnsiTheme="minorHAnsi"/>
        </w:rPr>
        <w:t xml:space="preserve">Certainly, a temporary drop in </w:t>
      </w:r>
      <w:r w:rsidR="00934C36" w:rsidRPr="00CB1460">
        <w:rPr>
          <w:rFonts w:asciiTheme="minorHAnsi" w:hAnsiTheme="minorHAnsi"/>
        </w:rPr>
        <w:t xml:space="preserve">house prices </w:t>
      </w:r>
      <w:r w:rsidRPr="00CB1460">
        <w:rPr>
          <w:rFonts w:asciiTheme="minorHAnsi" w:hAnsiTheme="minorHAnsi"/>
        </w:rPr>
        <w:t xml:space="preserve">could </w:t>
      </w:r>
      <w:r w:rsidR="00934C36" w:rsidRPr="00CB1460">
        <w:rPr>
          <w:rFonts w:asciiTheme="minorHAnsi" w:hAnsiTheme="minorHAnsi"/>
        </w:rPr>
        <w:t xml:space="preserve">have produced a contraction in construction. </w:t>
      </w:r>
      <w:r w:rsidRPr="00CB1460">
        <w:rPr>
          <w:rFonts w:asciiTheme="minorHAnsi" w:hAnsiTheme="minorHAnsi"/>
        </w:rPr>
        <w:t xml:space="preserve">But contractions in construction have </w:t>
      </w:r>
      <w:r w:rsidR="009D7467" w:rsidRPr="00CB1460">
        <w:rPr>
          <w:rFonts w:asciiTheme="minorHAnsi" w:hAnsiTheme="minorHAnsi"/>
        </w:rPr>
        <w:t xml:space="preserve">also </w:t>
      </w:r>
      <w:r w:rsidRPr="00CB1460">
        <w:rPr>
          <w:rFonts w:asciiTheme="minorHAnsi" w:hAnsiTheme="minorHAnsi"/>
        </w:rPr>
        <w:t>arisen</w:t>
      </w:r>
      <w:r w:rsidR="003422CA" w:rsidRPr="00CB1460">
        <w:rPr>
          <w:rFonts w:asciiTheme="minorHAnsi" w:hAnsiTheme="minorHAnsi"/>
        </w:rPr>
        <w:t>, indeed they’ve generally occurred</w:t>
      </w:r>
      <w:r w:rsidR="004A2164" w:rsidRPr="00CB1460">
        <w:rPr>
          <w:rFonts w:asciiTheme="minorHAnsi" w:hAnsiTheme="minorHAnsi"/>
        </w:rPr>
        <w:t>,</w:t>
      </w:r>
      <w:r w:rsidRPr="00CB1460">
        <w:rPr>
          <w:rFonts w:asciiTheme="minorHAnsi" w:hAnsiTheme="minorHAnsi"/>
        </w:rPr>
        <w:t xml:space="preserve"> in the context of rising house price</w:t>
      </w:r>
      <w:r w:rsidR="009D7467" w:rsidRPr="00CB1460">
        <w:rPr>
          <w:rFonts w:asciiTheme="minorHAnsi" w:hAnsiTheme="minorHAnsi"/>
        </w:rPr>
        <w:t>s</w:t>
      </w:r>
      <w:r w:rsidRPr="00CB1460">
        <w:rPr>
          <w:rFonts w:asciiTheme="minorHAnsi" w:hAnsiTheme="minorHAnsi"/>
        </w:rPr>
        <w:t xml:space="preserve">. Moreover, </w:t>
      </w:r>
      <w:r w:rsidR="00C23382" w:rsidRPr="00CB1460">
        <w:rPr>
          <w:rFonts w:asciiTheme="minorHAnsi" w:hAnsiTheme="minorHAnsi"/>
        </w:rPr>
        <w:t>a de</w:t>
      </w:r>
      <w:r w:rsidR="003F2BE1" w:rsidRPr="00CB1460">
        <w:rPr>
          <w:rFonts w:asciiTheme="minorHAnsi" w:hAnsiTheme="minorHAnsi"/>
        </w:rPr>
        <w:t>cline in a given sector doesn’t</w:t>
      </w:r>
      <w:r w:rsidR="00C23382" w:rsidRPr="00CB1460">
        <w:rPr>
          <w:rFonts w:asciiTheme="minorHAnsi" w:hAnsiTheme="minorHAnsi"/>
        </w:rPr>
        <w:t xml:space="preserve"> augur a</w:t>
      </w:r>
      <w:r w:rsidR="00573D38" w:rsidRPr="00CB1460">
        <w:rPr>
          <w:rFonts w:asciiTheme="minorHAnsi" w:hAnsiTheme="minorHAnsi"/>
        </w:rPr>
        <w:t>n</w:t>
      </w:r>
      <w:r w:rsidR="00C23382" w:rsidRPr="00CB1460">
        <w:rPr>
          <w:rFonts w:asciiTheme="minorHAnsi" w:hAnsiTheme="minorHAnsi"/>
        </w:rPr>
        <w:t xml:space="preserve"> economy-wide recession. Indeed, every </w:t>
      </w:r>
      <w:r w:rsidR="00E12239" w:rsidRPr="00CB1460">
        <w:rPr>
          <w:rFonts w:asciiTheme="minorHAnsi" w:hAnsiTheme="minorHAnsi"/>
        </w:rPr>
        <w:t>expansion</w:t>
      </w:r>
      <w:r w:rsidR="00C23382" w:rsidRPr="00CB1460">
        <w:rPr>
          <w:rFonts w:asciiTheme="minorHAnsi" w:hAnsiTheme="minorHAnsi"/>
        </w:rPr>
        <w:t xml:space="preserve"> features a recession in particular sectors, just as particular sectors expand during every recession.</w:t>
      </w:r>
      <w:r w:rsidR="00E12239" w:rsidRPr="00CB1460">
        <w:rPr>
          <w:rFonts w:asciiTheme="minorHAnsi" w:hAnsiTheme="minorHAnsi"/>
        </w:rPr>
        <w:t xml:space="preserve"> </w:t>
      </w:r>
    </w:p>
    <w:p w14:paraId="3EEA19CE" w14:textId="77777777" w:rsidR="006D5413" w:rsidRPr="00CB1460" w:rsidRDefault="006D5413" w:rsidP="00554E0E">
      <w:pPr>
        <w:jc w:val="both"/>
        <w:rPr>
          <w:rFonts w:asciiTheme="minorHAnsi" w:hAnsiTheme="minorHAnsi"/>
        </w:rPr>
      </w:pPr>
    </w:p>
    <w:p w14:paraId="65D9FE84" w14:textId="05CD74BE" w:rsidR="00BE0A04" w:rsidRPr="00CB1460" w:rsidRDefault="00F7167D" w:rsidP="00554E0E">
      <w:pPr>
        <w:jc w:val="both"/>
        <w:rPr>
          <w:rFonts w:asciiTheme="minorHAnsi" w:hAnsiTheme="minorHAnsi"/>
        </w:rPr>
      </w:pPr>
      <w:r w:rsidRPr="00CB1460">
        <w:rPr>
          <w:rFonts w:asciiTheme="minorHAnsi" w:hAnsiTheme="minorHAnsi"/>
        </w:rPr>
        <w:t>Furthermore, a drop</w:t>
      </w:r>
      <w:r w:rsidR="00573D38" w:rsidRPr="00CB1460">
        <w:rPr>
          <w:rFonts w:asciiTheme="minorHAnsi" w:hAnsiTheme="minorHAnsi"/>
        </w:rPr>
        <w:t xml:space="preserve"> in t</w:t>
      </w:r>
      <w:r w:rsidRPr="00CB1460">
        <w:rPr>
          <w:rFonts w:asciiTheme="minorHAnsi" w:hAnsiTheme="minorHAnsi"/>
        </w:rPr>
        <w:t xml:space="preserve">he price of homes does not adversely impact </w:t>
      </w:r>
      <w:r w:rsidR="00375255" w:rsidRPr="00CB1460">
        <w:rPr>
          <w:rFonts w:asciiTheme="minorHAnsi" w:hAnsiTheme="minorHAnsi"/>
        </w:rPr>
        <w:t xml:space="preserve">most </w:t>
      </w:r>
      <w:r w:rsidR="00573D38" w:rsidRPr="00CB1460">
        <w:rPr>
          <w:rFonts w:asciiTheme="minorHAnsi" w:hAnsiTheme="minorHAnsi"/>
        </w:rPr>
        <w:t>homeowners. Yes,</w:t>
      </w:r>
      <w:r w:rsidR="003422CA" w:rsidRPr="00CB1460">
        <w:rPr>
          <w:rFonts w:asciiTheme="minorHAnsi" w:hAnsiTheme="minorHAnsi"/>
        </w:rPr>
        <w:t xml:space="preserve"> the value of their asset falls</w:t>
      </w:r>
      <w:r w:rsidR="005D62F6" w:rsidRPr="00CB1460">
        <w:rPr>
          <w:rFonts w:asciiTheme="minorHAnsi" w:hAnsiTheme="minorHAnsi"/>
        </w:rPr>
        <w:t>. But the implicit cost of home</w:t>
      </w:r>
      <w:r w:rsidR="00573D38" w:rsidRPr="00CB1460">
        <w:rPr>
          <w:rFonts w:asciiTheme="minorHAnsi" w:hAnsiTheme="minorHAnsi"/>
        </w:rPr>
        <w:t>owners</w:t>
      </w:r>
      <w:r w:rsidR="005D62F6" w:rsidRPr="00CB1460">
        <w:rPr>
          <w:rFonts w:asciiTheme="minorHAnsi" w:hAnsiTheme="minorHAnsi"/>
        </w:rPr>
        <w:t>hip (imputed rent) falls</w:t>
      </w:r>
      <w:r w:rsidR="00573D38" w:rsidRPr="00CB1460">
        <w:rPr>
          <w:rFonts w:asciiTheme="minorHAnsi" w:hAnsiTheme="minorHAnsi"/>
        </w:rPr>
        <w:t xml:space="preserve"> as well. </w:t>
      </w:r>
      <w:r w:rsidRPr="00CB1460">
        <w:rPr>
          <w:rFonts w:asciiTheme="minorHAnsi" w:hAnsiTheme="minorHAnsi"/>
        </w:rPr>
        <w:t>And, if we’re talking about a nationwide decline in house prices,</w:t>
      </w:r>
      <w:r w:rsidR="003422CA" w:rsidRPr="00CB1460">
        <w:rPr>
          <w:rFonts w:asciiTheme="minorHAnsi" w:hAnsiTheme="minorHAnsi"/>
        </w:rPr>
        <w:t xml:space="preserve"> as we are with the GR, even those who moved</w:t>
      </w:r>
      <w:r w:rsidRPr="00CB1460">
        <w:rPr>
          <w:rFonts w:asciiTheme="minorHAnsi" w:hAnsiTheme="minorHAnsi"/>
        </w:rPr>
        <w:t xml:space="preserve"> experience</w:t>
      </w:r>
      <w:r w:rsidR="003422CA" w:rsidRPr="00CB1460">
        <w:rPr>
          <w:rFonts w:asciiTheme="minorHAnsi" w:hAnsiTheme="minorHAnsi"/>
        </w:rPr>
        <w:t>d</w:t>
      </w:r>
      <w:r w:rsidRPr="00CB1460">
        <w:rPr>
          <w:rFonts w:asciiTheme="minorHAnsi" w:hAnsiTheme="minorHAnsi"/>
        </w:rPr>
        <w:t xml:space="preserve"> no economic harm because their ability</w:t>
      </w:r>
      <w:r w:rsidR="003422CA" w:rsidRPr="00CB1460">
        <w:rPr>
          <w:rFonts w:asciiTheme="minorHAnsi" w:hAnsiTheme="minorHAnsi"/>
        </w:rPr>
        <w:t xml:space="preserve"> to buy at a lower price offset</w:t>
      </w:r>
      <w:r w:rsidRPr="00CB1460">
        <w:rPr>
          <w:rFonts w:asciiTheme="minorHAnsi" w:hAnsiTheme="minorHAnsi"/>
        </w:rPr>
        <w:t xml:space="preserve"> their need to sell at a lower price.</w:t>
      </w:r>
      <w:r w:rsidR="00D24F31" w:rsidRPr="00CB1460">
        <w:rPr>
          <w:rStyle w:val="FootnoteReference"/>
          <w:rFonts w:asciiTheme="minorHAnsi" w:hAnsiTheme="minorHAnsi"/>
        </w:rPr>
        <w:footnoteReference w:id="10"/>
      </w:r>
      <w:r w:rsidRPr="00CB1460">
        <w:rPr>
          <w:rFonts w:asciiTheme="minorHAnsi" w:hAnsiTheme="minorHAnsi"/>
        </w:rPr>
        <w:t xml:space="preserve"> </w:t>
      </w:r>
    </w:p>
    <w:p w14:paraId="41C023EE" w14:textId="77777777" w:rsidR="00A21365" w:rsidRPr="00CB1460" w:rsidRDefault="00A21365" w:rsidP="00554E0E">
      <w:pPr>
        <w:jc w:val="both"/>
        <w:rPr>
          <w:rFonts w:asciiTheme="minorHAnsi" w:hAnsiTheme="minorHAnsi"/>
        </w:rPr>
      </w:pPr>
    </w:p>
    <w:p w14:paraId="62C55299" w14:textId="4CD52E25" w:rsidR="00F7167D" w:rsidRPr="00CB1460" w:rsidRDefault="00F50B6D" w:rsidP="00554E0E">
      <w:pPr>
        <w:jc w:val="both"/>
        <w:rPr>
          <w:rFonts w:asciiTheme="minorHAnsi" w:hAnsiTheme="minorHAnsi"/>
        </w:rPr>
      </w:pPr>
      <w:r w:rsidRPr="00CB1460">
        <w:rPr>
          <w:rFonts w:asciiTheme="minorHAnsi" w:hAnsiTheme="minorHAnsi"/>
        </w:rPr>
        <w:t xml:space="preserve">As the GR took </w:t>
      </w:r>
      <w:r w:rsidR="008F3A5C" w:rsidRPr="00CB1460">
        <w:rPr>
          <w:rFonts w:asciiTheme="minorHAnsi" w:hAnsiTheme="minorHAnsi"/>
        </w:rPr>
        <w:t>hold, many</w:t>
      </w:r>
      <w:r w:rsidRPr="00CB1460">
        <w:rPr>
          <w:rFonts w:asciiTheme="minorHAnsi" w:hAnsiTheme="minorHAnsi"/>
        </w:rPr>
        <w:t xml:space="preserve"> homeowners went underwat</w:t>
      </w:r>
      <w:r w:rsidR="001546A8" w:rsidRPr="00CB1460">
        <w:rPr>
          <w:rFonts w:asciiTheme="minorHAnsi" w:hAnsiTheme="minorHAnsi"/>
        </w:rPr>
        <w:t>er on their</w:t>
      </w:r>
      <w:r w:rsidR="00853767" w:rsidRPr="00CB1460">
        <w:rPr>
          <w:rFonts w:asciiTheme="minorHAnsi" w:hAnsiTheme="minorHAnsi"/>
        </w:rPr>
        <w:t xml:space="preserve"> mortgages. This surely led to the above-documented</w:t>
      </w:r>
      <w:r w:rsidR="001546A8" w:rsidRPr="00CB1460">
        <w:rPr>
          <w:rFonts w:asciiTheme="minorHAnsi" w:hAnsiTheme="minorHAnsi"/>
        </w:rPr>
        <w:t xml:space="preserve"> rise in foreclosures as mortgagees walked away from their obligations. </w:t>
      </w:r>
      <w:r w:rsidR="00CF13FE" w:rsidRPr="00CB1460">
        <w:rPr>
          <w:rFonts w:asciiTheme="minorHAnsi" w:hAnsiTheme="minorHAnsi"/>
        </w:rPr>
        <w:t xml:space="preserve">But </w:t>
      </w:r>
      <w:r w:rsidR="00756018" w:rsidRPr="00CB1460">
        <w:rPr>
          <w:rFonts w:asciiTheme="minorHAnsi" w:hAnsiTheme="minorHAnsi"/>
        </w:rPr>
        <w:t>foreclosures don’t represent a loss to the economy</w:t>
      </w:r>
      <w:r w:rsidR="00373367" w:rsidRPr="00CB1460">
        <w:rPr>
          <w:rFonts w:asciiTheme="minorHAnsi" w:hAnsiTheme="minorHAnsi"/>
        </w:rPr>
        <w:t>. The foreclosed house is</w:t>
      </w:r>
      <w:r w:rsidR="00756018" w:rsidRPr="00CB1460">
        <w:rPr>
          <w:rFonts w:asciiTheme="minorHAnsi" w:hAnsiTheme="minorHAnsi"/>
        </w:rPr>
        <w:t xml:space="preserve">, after </w:t>
      </w:r>
      <w:r w:rsidR="00373367" w:rsidRPr="00CB1460">
        <w:rPr>
          <w:rFonts w:asciiTheme="minorHAnsi" w:hAnsiTheme="minorHAnsi"/>
        </w:rPr>
        <w:t>all, still</w:t>
      </w:r>
      <w:r w:rsidR="00756018" w:rsidRPr="00CB1460">
        <w:rPr>
          <w:rFonts w:asciiTheme="minorHAnsi" w:hAnsiTheme="minorHAnsi"/>
        </w:rPr>
        <w:t xml:space="preserve"> </w:t>
      </w:r>
      <w:r w:rsidR="00756018" w:rsidRPr="00CB1460">
        <w:rPr>
          <w:rFonts w:asciiTheme="minorHAnsi" w:hAnsiTheme="minorHAnsi"/>
        </w:rPr>
        <w:lastRenderedPageBreak/>
        <w:t>stand</w:t>
      </w:r>
      <w:r w:rsidR="00373367" w:rsidRPr="00CB1460">
        <w:rPr>
          <w:rFonts w:asciiTheme="minorHAnsi" w:hAnsiTheme="minorHAnsi"/>
        </w:rPr>
        <w:t>ing</w:t>
      </w:r>
      <w:r w:rsidR="00756018" w:rsidRPr="00CB1460">
        <w:rPr>
          <w:rFonts w:asciiTheme="minorHAnsi" w:hAnsiTheme="minorHAnsi"/>
        </w:rPr>
        <w:t xml:space="preserve">. Its </w:t>
      </w:r>
      <w:r w:rsidR="00DD745A" w:rsidRPr="00CB1460">
        <w:rPr>
          <w:rFonts w:asciiTheme="minorHAnsi" w:hAnsiTheme="minorHAnsi"/>
        </w:rPr>
        <w:t>ownership just switches hands. Of course, c</w:t>
      </w:r>
      <w:r w:rsidR="00756018" w:rsidRPr="00CB1460">
        <w:rPr>
          <w:rFonts w:asciiTheme="minorHAnsi" w:hAnsiTheme="minorHAnsi"/>
        </w:rPr>
        <w:t>reditors lose</w:t>
      </w:r>
      <w:r w:rsidR="00373367" w:rsidRPr="00CB1460">
        <w:rPr>
          <w:rFonts w:asciiTheme="minorHAnsi" w:hAnsiTheme="minorHAnsi"/>
        </w:rPr>
        <w:t xml:space="preserve"> due to the mortgage default</w:t>
      </w:r>
      <w:r w:rsidR="00756018" w:rsidRPr="00CB1460">
        <w:rPr>
          <w:rFonts w:asciiTheme="minorHAnsi" w:hAnsiTheme="minorHAnsi"/>
        </w:rPr>
        <w:t xml:space="preserve">. </w:t>
      </w:r>
      <w:r w:rsidR="00853767" w:rsidRPr="00CB1460">
        <w:rPr>
          <w:rFonts w:asciiTheme="minorHAnsi" w:hAnsiTheme="minorHAnsi"/>
        </w:rPr>
        <w:t>But</w:t>
      </w:r>
      <w:r w:rsidR="00DD745A" w:rsidRPr="00CB1460">
        <w:rPr>
          <w:rFonts w:asciiTheme="minorHAnsi" w:hAnsiTheme="minorHAnsi"/>
        </w:rPr>
        <w:t xml:space="preserve"> h</w:t>
      </w:r>
      <w:r w:rsidR="008563BB" w:rsidRPr="00CB1460">
        <w:rPr>
          <w:rFonts w:asciiTheme="minorHAnsi" w:hAnsiTheme="minorHAnsi"/>
        </w:rPr>
        <w:t>ome</w:t>
      </w:r>
      <w:r w:rsidR="00756018" w:rsidRPr="00CB1460">
        <w:rPr>
          <w:rFonts w:asciiTheme="minorHAnsi" w:hAnsiTheme="minorHAnsi"/>
        </w:rPr>
        <w:t xml:space="preserve">owners </w:t>
      </w:r>
      <w:r w:rsidR="00DD745A" w:rsidRPr="00CB1460">
        <w:rPr>
          <w:rFonts w:asciiTheme="minorHAnsi" w:hAnsiTheme="minorHAnsi"/>
        </w:rPr>
        <w:t xml:space="preserve">win because they </w:t>
      </w:r>
      <w:r w:rsidR="00853767" w:rsidRPr="00CB1460">
        <w:rPr>
          <w:rFonts w:asciiTheme="minorHAnsi" w:hAnsiTheme="minorHAnsi"/>
        </w:rPr>
        <w:t>rid themselves of their mortgage</w:t>
      </w:r>
      <w:r w:rsidR="008563BB" w:rsidRPr="00CB1460">
        <w:rPr>
          <w:rFonts w:asciiTheme="minorHAnsi" w:hAnsiTheme="minorHAnsi"/>
        </w:rPr>
        <w:t xml:space="preserve"> liability. </w:t>
      </w:r>
    </w:p>
    <w:p w14:paraId="49AFB42D" w14:textId="77777777" w:rsidR="00373367" w:rsidRPr="00CB1460" w:rsidRDefault="00373367" w:rsidP="00554E0E">
      <w:pPr>
        <w:jc w:val="both"/>
        <w:rPr>
          <w:rFonts w:asciiTheme="minorHAnsi" w:hAnsiTheme="minorHAnsi"/>
        </w:rPr>
      </w:pPr>
    </w:p>
    <w:p w14:paraId="6D2EF417" w14:textId="569556D5" w:rsidR="00E631B1" w:rsidRPr="00CB1460" w:rsidRDefault="00FC6E6E" w:rsidP="00554E0E">
      <w:pPr>
        <w:jc w:val="both"/>
        <w:rPr>
          <w:rFonts w:asciiTheme="minorHAnsi" w:hAnsiTheme="minorHAnsi"/>
        </w:rPr>
      </w:pPr>
      <w:r w:rsidRPr="00CB1460">
        <w:rPr>
          <w:rFonts w:asciiTheme="minorHAnsi" w:hAnsiTheme="minorHAnsi"/>
        </w:rPr>
        <w:t xml:space="preserve">In short, </w:t>
      </w:r>
      <w:r w:rsidR="005553B9" w:rsidRPr="00CB1460">
        <w:rPr>
          <w:rFonts w:asciiTheme="minorHAnsi" w:hAnsiTheme="minorHAnsi"/>
        </w:rPr>
        <w:t xml:space="preserve">rising house prices are not required to keep the economy out of recession. Nor are declining house prices, even accompanied by mortgage defaults, an automatic harbinger, let alone </w:t>
      </w:r>
      <w:r w:rsidR="00AD0594" w:rsidRPr="00CB1460">
        <w:rPr>
          <w:rFonts w:asciiTheme="minorHAnsi" w:hAnsiTheme="minorHAnsi"/>
        </w:rPr>
        <w:t xml:space="preserve">a </w:t>
      </w:r>
      <w:r w:rsidR="005553B9" w:rsidRPr="00CB1460">
        <w:rPr>
          <w:rFonts w:asciiTheme="minorHAnsi" w:hAnsiTheme="minorHAnsi"/>
        </w:rPr>
        <w:t xml:space="preserve">direct cause of recessions. </w:t>
      </w:r>
    </w:p>
    <w:p w14:paraId="0C07DD35" w14:textId="77777777" w:rsidR="007848BC" w:rsidRPr="00CB1460" w:rsidRDefault="007848BC" w:rsidP="00554E0E">
      <w:pPr>
        <w:jc w:val="both"/>
        <w:rPr>
          <w:rFonts w:asciiTheme="minorHAnsi" w:hAnsiTheme="minorHAnsi"/>
        </w:rPr>
      </w:pPr>
    </w:p>
    <w:p w14:paraId="25F9C93C" w14:textId="4A37196F" w:rsidR="007848BC" w:rsidRPr="00CB1460" w:rsidRDefault="007848BC" w:rsidP="00635187">
      <w:pPr>
        <w:jc w:val="both"/>
        <w:rPr>
          <w:rFonts w:asciiTheme="minorHAnsi" w:eastAsia="Times New Roman" w:hAnsiTheme="minorHAnsi"/>
        </w:rPr>
      </w:pPr>
      <w:r w:rsidRPr="00CB1460">
        <w:rPr>
          <w:rFonts w:asciiTheme="minorHAnsi" w:hAnsiTheme="minorHAnsi"/>
        </w:rPr>
        <w:t xml:space="preserve">The housing price decline may have been stimulated, in part, by widely incorrect statements from supposed experts. Take Anthony Mozilla’s statement in July 2007 that </w:t>
      </w:r>
      <w:r w:rsidR="00635187" w:rsidRPr="00CB1460">
        <w:rPr>
          <w:rFonts w:asciiTheme="minorHAnsi" w:hAnsiTheme="minorHAnsi"/>
        </w:rPr>
        <w:t>“</w:t>
      </w:r>
      <w:r w:rsidR="00635187" w:rsidRPr="00CB1460">
        <w:rPr>
          <w:rFonts w:asciiTheme="minorHAnsi" w:eastAsia="Times New Roman" w:hAnsiTheme="minorHAnsi"/>
          <w:color w:val="282F2F"/>
          <w:spacing w:val="8"/>
          <w:shd w:val="clear" w:color="auto" w:fill="FFFFFF"/>
        </w:rPr>
        <w:t>We are experiencing home price depreciation almost like never before, with the exception of the Great Depression.” Mozilla</w:t>
      </w:r>
      <w:r w:rsidR="00934CF0" w:rsidRPr="00CB1460">
        <w:rPr>
          <w:rFonts w:asciiTheme="minorHAnsi" w:eastAsia="Times New Roman" w:hAnsiTheme="minorHAnsi"/>
          <w:color w:val="282F2F"/>
          <w:spacing w:val="8"/>
          <w:shd w:val="clear" w:color="auto" w:fill="FFFFFF"/>
        </w:rPr>
        <w:t xml:space="preserve"> </w:t>
      </w:r>
      <w:r w:rsidR="00635187" w:rsidRPr="00CB1460">
        <w:rPr>
          <w:rFonts w:asciiTheme="minorHAnsi" w:eastAsia="Times New Roman" w:hAnsiTheme="minorHAnsi"/>
          <w:color w:val="282F2F"/>
          <w:spacing w:val="8"/>
          <w:shd w:val="clear" w:color="auto" w:fill="FFFFFF"/>
        </w:rPr>
        <w:t xml:space="preserve">was the head of Countrywide Financial, the country’s largest </w:t>
      </w:r>
      <w:r w:rsidR="00934CF0" w:rsidRPr="00CB1460">
        <w:rPr>
          <w:rFonts w:asciiTheme="minorHAnsi" w:eastAsia="Times New Roman" w:hAnsiTheme="minorHAnsi"/>
          <w:color w:val="282F2F"/>
          <w:spacing w:val="8"/>
          <w:shd w:val="clear" w:color="auto" w:fill="FFFFFF"/>
        </w:rPr>
        <w:t>mortgage lender at the time. This statement was all the more credible since it</w:t>
      </w:r>
      <w:r w:rsidR="00674402" w:rsidRPr="00CB1460">
        <w:rPr>
          <w:rFonts w:asciiTheme="minorHAnsi" w:eastAsia="Times New Roman" w:hAnsiTheme="minorHAnsi"/>
          <w:color w:val="282F2F"/>
          <w:spacing w:val="8"/>
          <w:shd w:val="clear" w:color="auto" w:fill="FFFFFF"/>
        </w:rPr>
        <w:t>s making</w:t>
      </w:r>
      <w:r w:rsidR="00934CF0" w:rsidRPr="00CB1460">
        <w:rPr>
          <w:rFonts w:asciiTheme="minorHAnsi" w:eastAsia="Times New Roman" w:hAnsiTheme="minorHAnsi"/>
          <w:color w:val="282F2F"/>
          <w:spacing w:val="8"/>
          <w:shd w:val="clear" w:color="auto" w:fill="FFFFFF"/>
        </w:rPr>
        <w:t xml:space="preserve"> was hardly in Countrywide’s interest. </w:t>
      </w:r>
      <w:r w:rsidR="00FB4796" w:rsidRPr="00CB1460">
        <w:rPr>
          <w:rFonts w:asciiTheme="minorHAnsi" w:eastAsia="Times New Roman" w:hAnsiTheme="minorHAnsi"/>
          <w:color w:val="282F2F"/>
          <w:spacing w:val="8"/>
          <w:shd w:val="clear" w:color="auto" w:fill="FFFFFF"/>
        </w:rPr>
        <w:t xml:space="preserve">Where Mozilla got his “facts” isn’t clear, but there is no evidence </w:t>
      </w:r>
      <w:r w:rsidR="00E5020D" w:rsidRPr="00CB1460">
        <w:rPr>
          <w:rFonts w:asciiTheme="minorHAnsi" w:eastAsia="Times New Roman" w:hAnsiTheme="minorHAnsi"/>
          <w:color w:val="282F2F"/>
          <w:spacing w:val="8"/>
          <w:shd w:val="clear" w:color="auto" w:fill="FFFFFF"/>
        </w:rPr>
        <w:t xml:space="preserve">in the data </w:t>
      </w:r>
      <w:r w:rsidR="00FB4796" w:rsidRPr="00CB1460">
        <w:rPr>
          <w:rFonts w:asciiTheme="minorHAnsi" w:eastAsia="Times New Roman" w:hAnsiTheme="minorHAnsi"/>
          <w:color w:val="282F2F"/>
          <w:spacing w:val="8"/>
          <w:shd w:val="clear" w:color="auto" w:fill="FFFFFF"/>
        </w:rPr>
        <w:t xml:space="preserve">of </w:t>
      </w:r>
      <w:r w:rsidR="00E5020D" w:rsidRPr="00CB1460">
        <w:rPr>
          <w:rFonts w:asciiTheme="minorHAnsi" w:eastAsia="Times New Roman" w:hAnsiTheme="minorHAnsi"/>
          <w:color w:val="282F2F"/>
          <w:spacing w:val="8"/>
          <w:shd w:val="clear" w:color="auto" w:fill="FFFFFF"/>
        </w:rPr>
        <w:t>anything like what Mozilla stated. The Case-Shiller national home price indexed peaked in July 2006</w:t>
      </w:r>
      <w:r w:rsidR="001A0AD7" w:rsidRPr="00CB1460">
        <w:rPr>
          <w:rFonts w:asciiTheme="minorHAnsi" w:eastAsia="Times New Roman" w:hAnsiTheme="minorHAnsi"/>
          <w:color w:val="282F2F"/>
          <w:spacing w:val="8"/>
          <w:shd w:val="clear" w:color="auto" w:fill="FFFFFF"/>
        </w:rPr>
        <w:t xml:space="preserve">. A year later, it was </w:t>
      </w:r>
      <w:r w:rsidR="008F3A5C" w:rsidRPr="00CB1460">
        <w:rPr>
          <w:rFonts w:asciiTheme="minorHAnsi" w:eastAsia="Times New Roman" w:hAnsiTheme="minorHAnsi"/>
          <w:color w:val="282F2F"/>
          <w:spacing w:val="8"/>
          <w:shd w:val="clear" w:color="auto" w:fill="FFFFFF"/>
        </w:rPr>
        <w:t xml:space="preserve">just </w:t>
      </w:r>
      <w:r w:rsidR="001A0AD7" w:rsidRPr="00CB1460">
        <w:rPr>
          <w:rFonts w:asciiTheme="minorHAnsi" w:eastAsia="Times New Roman" w:hAnsiTheme="minorHAnsi"/>
          <w:color w:val="282F2F"/>
          <w:spacing w:val="8"/>
          <w:shd w:val="clear" w:color="auto" w:fill="FFFFFF"/>
        </w:rPr>
        <w:t>2 percent lower – nothing remotely like Mozilla claimed.</w:t>
      </w:r>
      <w:r w:rsidR="002D7F00" w:rsidRPr="00CB1460">
        <w:rPr>
          <w:rStyle w:val="FootnoteReference"/>
          <w:rFonts w:asciiTheme="minorHAnsi" w:eastAsia="Times New Roman" w:hAnsiTheme="minorHAnsi"/>
          <w:color w:val="282F2F"/>
          <w:spacing w:val="8"/>
          <w:shd w:val="clear" w:color="auto" w:fill="FFFFFF"/>
        </w:rPr>
        <w:footnoteReference w:id="11"/>
      </w:r>
      <w:r w:rsidR="001A0AD7" w:rsidRPr="00CB1460">
        <w:rPr>
          <w:rFonts w:asciiTheme="minorHAnsi" w:eastAsia="Times New Roman" w:hAnsiTheme="minorHAnsi"/>
          <w:color w:val="282F2F"/>
          <w:spacing w:val="8"/>
          <w:shd w:val="clear" w:color="auto" w:fill="FFFFFF"/>
        </w:rPr>
        <w:t xml:space="preserve"> </w:t>
      </w:r>
      <w:r w:rsidR="008F3A5C" w:rsidRPr="00CB1460">
        <w:rPr>
          <w:rFonts w:asciiTheme="minorHAnsi" w:eastAsia="Times New Roman" w:hAnsiTheme="minorHAnsi"/>
          <w:color w:val="282F2F"/>
          <w:spacing w:val="8"/>
          <w:shd w:val="clear" w:color="auto" w:fill="FFFFFF"/>
        </w:rPr>
        <w:t>Moreover, a</w:t>
      </w:r>
      <w:r w:rsidR="00440E02" w:rsidRPr="00CB1460">
        <w:rPr>
          <w:rFonts w:asciiTheme="minorHAnsi" w:eastAsia="Times New Roman" w:hAnsiTheme="minorHAnsi"/>
          <w:color w:val="282F2F"/>
          <w:spacing w:val="8"/>
          <w:shd w:val="clear" w:color="auto" w:fill="FFFFFF"/>
        </w:rPr>
        <w:t>ccording to the Federal Reserve’s All-Transactions House Price Index, house prices were actually higher in the Q3 2007 than Q3 2006.</w:t>
      </w:r>
      <w:r w:rsidR="00BB2B3C" w:rsidRPr="00CB1460">
        <w:rPr>
          <w:rStyle w:val="FootnoteReference"/>
          <w:rFonts w:asciiTheme="minorHAnsi" w:eastAsia="Times New Roman" w:hAnsiTheme="minorHAnsi"/>
          <w:color w:val="282F2F"/>
          <w:spacing w:val="8"/>
          <w:shd w:val="clear" w:color="auto" w:fill="FFFFFF"/>
        </w:rPr>
        <w:footnoteReference w:id="12"/>
      </w:r>
      <w:r w:rsidR="00440E02" w:rsidRPr="00CB1460">
        <w:rPr>
          <w:rFonts w:asciiTheme="minorHAnsi" w:eastAsia="Times New Roman" w:hAnsiTheme="minorHAnsi"/>
          <w:color w:val="282F2F"/>
          <w:spacing w:val="8"/>
          <w:shd w:val="clear" w:color="auto" w:fill="FFFFFF"/>
        </w:rPr>
        <w:t xml:space="preserve"> But here was the </w:t>
      </w:r>
      <w:r w:rsidR="003345AB" w:rsidRPr="00CB1460">
        <w:rPr>
          <w:rFonts w:asciiTheme="minorHAnsi" w:eastAsia="Times New Roman" w:hAnsiTheme="minorHAnsi"/>
          <w:color w:val="282F2F"/>
          <w:spacing w:val="8"/>
          <w:shd w:val="clear" w:color="auto" w:fill="FFFFFF"/>
        </w:rPr>
        <w:t>country’s top mortgage exec</w:t>
      </w:r>
      <w:r w:rsidR="00F51991" w:rsidRPr="00CB1460">
        <w:rPr>
          <w:rFonts w:asciiTheme="minorHAnsi" w:eastAsia="Times New Roman" w:hAnsiTheme="minorHAnsi"/>
          <w:color w:val="282F2F"/>
          <w:spacing w:val="8"/>
          <w:shd w:val="clear" w:color="auto" w:fill="FFFFFF"/>
        </w:rPr>
        <w:t>utive</w:t>
      </w:r>
      <w:r w:rsidR="003345AB" w:rsidRPr="00CB1460">
        <w:rPr>
          <w:rFonts w:asciiTheme="minorHAnsi" w:eastAsia="Times New Roman" w:hAnsiTheme="minorHAnsi"/>
          <w:color w:val="282F2F"/>
          <w:spacing w:val="8"/>
          <w:shd w:val="clear" w:color="auto" w:fill="FFFFFF"/>
        </w:rPr>
        <w:t xml:space="preserve"> claiming housing prices were plummeting and invoking the D word – the Great Depression. </w:t>
      </w:r>
      <w:r w:rsidR="00EB41E9" w:rsidRPr="00CB1460">
        <w:rPr>
          <w:rFonts w:asciiTheme="minorHAnsi" w:eastAsia="Times New Roman" w:hAnsiTheme="minorHAnsi"/>
          <w:color w:val="282F2F"/>
          <w:spacing w:val="8"/>
          <w:shd w:val="clear" w:color="auto" w:fill="FFFFFF"/>
        </w:rPr>
        <w:t>The day of his statement, Countrywide’s stock dropped 10 percent.</w:t>
      </w:r>
      <w:r w:rsidR="00BB2B3C" w:rsidRPr="00CB1460">
        <w:rPr>
          <w:rStyle w:val="FootnoteReference"/>
          <w:rFonts w:asciiTheme="minorHAnsi" w:eastAsia="Times New Roman" w:hAnsiTheme="minorHAnsi"/>
          <w:color w:val="282F2F"/>
          <w:spacing w:val="8"/>
          <w:shd w:val="clear" w:color="auto" w:fill="FFFFFF"/>
        </w:rPr>
        <w:footnoteReference w:id="13"/>
      </w:r>
      <w:r w:rsidR="00EB41E9" w:rsidRPr="00CB1460">
        <w:rPr>
          <w:rFonts w:asciiTheme="minorHAnsi" w:eastAsia="Times New Roman" w:hAnsiTheme="minorHAnsi"/>
          <w:color w:val="282F2F"/>
          <w:spacing w:val="8"/>
          <w:shd w:val="clear" w:color="auto" w:fill="FFFFFF"/>
        </w:rPr>
        <w:t xml:space="preserve"> </w:t>
      </w:r>
    </w:p>
    <w:p w14:paraId="3D571775" w14:textId="77777777" w:rsidR="00E631B1" w:rsidRPr="00CB1460" w:rsidRDefault="00E631B1" w:rsidP="00554E0E">
      <w:pPr>
        <w:jc w:val="both"/>
        <w:rPr>
          <w:rFonts w:asciiTheme="minorHAnsi" w:hAnsiTheme="minorHAnsi"/>
        </w:rPr>
      </w:pPr>
    </w:p>
    <w:p w14:paraId="07E613BD" w14:textId="7DFEE5AA" w:rsidR="00A0067C" w:rsidRPr="00CB1460" w:rsidRDefault="00E46735" w:rsidP="00554E0E">
      <w:pPr>
        <w:jc w:val="both"/>
        <w:rPr>
          <w:rFonts w:asciiTheme="minorHAnsi" w:hAnsiTheme="minorHAnsi"/>
          <w:b/>
        </w:rPr>
      </w:pPr>
      <w:r w:rsidRPr="00CB1460">
        <w:rPr>
          <w:rFonts w:asciiTheme="minorHAnsi" w:hAnsiTheme="minorHAnsi"/>
          <w:b/>
        </w:rPr>
        <w:t>R</w:t>
      </w:r>
      <w:r w:rsidR="002264C9" w:rsidRPr="00CB1460">
        <w:rPr>
          <w:rFonts w:asciiTheme="minorHAnsi" w:hAnsiTheme="minorHAnsi"/>
          <w:b/>
        </w:rPr>
        <w:t>atin</w:t>
      </w:r>
      <w:r w:rsidR="00A0067C" w:rsidRPr="00CB1460">
        <w:rPr>
          <w:rFonts w:asciiTheme="minorHAnsi" w:hAnsiTheme="minorHAnsi"/>
          <w:b/>
        </w:rPr>
        <w:t>gs Shopping</w:t>
      </w:r>
    </w:p>
    <w:p w14:paraId="4532AFC6" w14:textId="64C40466" w:rsidR="00DB56EA" w:rsidRPr="00CB1460" w:rsidRDefault="00850EEF" w:rsidP="00554E0E">
      <w:pPr>
        <w:jc w:val="both"/>
        <w:rPr>
          <w:rFonts w:asciiTheme="minorHAnsi" w:eastAsia="Times New Roman" w:hAnsiTheme="minorHAnsi"/>
        </w:rPr>
      </w:pPr>
      <w:r w:rsidRPr="00CB1460">
        <w:rPr>
          <w:rFonts w:asciiTheme="minorHAnsi" w:hAnsiTheme="minorHAnsi"/>
        </w:rPr>
        <w:t>The FCIC</w:t>
      </w:r>
      <w:r w:rsidR="00EF023D" w:rsidRPr="00CB1460">
        <w:rPr>
          <w:rFonts w:asciiTheme="minorHAnsi" w:hAnsiTheme="minorHAnsi"/>
        </w:rPr>
        <w:t xml:space="preserve">’s report states that </w:t>
      </w:r>
      <w:r w:rsidR="00EF023D" w:rsidRPr="00CB1460">
        <w:rPr>
          <w:rFonts w:asciiTheme="minorHAnsi" w:eastAsia="Times New Roman" w:hAnsiTheme="minorHAnsi"/>
          <w:color w:val="222222"/>
          <w:shd w:val="clear" w:color="auto" w:fill="FFFFFF"/>
        </w:rPr>
        <w:t>failures of the big-three rating companies were "essential cogs in the wheel of financial destruction" and "key enablers of the financial meltdown."</w:t>
      </w:r>
      <w:r w:rsidR="00EF023D" w:rsidRPr="00CB1460">
        <w:rPr>
          <w:rFonts w:asciiTheme="minorHAnsi" w:eastAsia="Times New Roman" w:hAnsiTheme="minorHAnsi"/>
        </w:rPr>
        <w:t xml:space="preserve"> But a careful study </w:t>
      </w:r>
      <w:r w:rsidR="00E70829" w:rsidRPr="00CB1460">
        <w:rPr>
          <w:rFonts w:asciiTheme="minorHAnsi" w:eastAsia="Times New Roman" w:hAnsiTheme="minorHAnsi"/>
        </w:rPr>
        <w:t xml:space="preserve">by economists Efraim Benmelech of Harvard University and Jennifer Dlugosz, </w:t>
      </w:r>
      <w:r w:rsidR="003F2BE1" w:rsidRPr="00CB1460">
        <w:rPr>
          <w:rFonts w:asciiTheme="minorHAnsi" w:eastAsia="Times New Roman" w:hAnsiTheme="minorHAnsi"/>
        </w:rPr>
        <w:t xml:space="preserve">of the </w:t>
      </w:r>
      <w:r w:rsidR="00E70829" w:rsidRPr="00CB1460">
        <w:rPr>
          <w:rFonts w:asciiTheme="minorHAnsi" w:eastAsia="Times New Roman" w:hAnsiTheme="minorHAnsi"/>
        </w:rPr>
        <w:t>Federal Reserve System</w:t>
      </w:r>
      <w:r w:rsidR="008B7993" w:rsidRPr="00CB1460">
        <w:rPr>
          <w:rFonts w:asciiTheme="minorHAnsi" w:eastAsia="Times New Roman" w:hAnsiTheme="minorHAnsi"/>
        </w:rPr>
        <w:t xml:space="preserve"> concludes</w:t>
      </w:r>
      <w:r w:rsidR="00087071" w:rsidRPr="00CB1460">
        <w:rPr>
          <w:rFonts w:asciiTheme="minorHAnsi" w:eastAsia="Times New Roman" w:hAnsiTheme="minorHAnsi"/>
        </w:rPr>
        <w:t>,</w:t>
      </w:r>
      <w:r w:rsidR="008B7993" w:rsidRPr="00CB1460">
        <w:rPr>
          <w:rFonts w:asciiTheme="minorHAnsi" w:eastAsia="Times New Roman" w:hAnsiTheme="minorHAnsi"/>
        </w:rPr>
        <w:t xml:space="preserve"> “It is not clear that rating shopping led to the ratings collapse as the majority of the tranches in our sample are rated by two or three agencies.”</w:t>
      </w:r>
      <w:r w:rsidR="008B7993" w:rsidRPr="00CB1460">
        <w:rPr>
          <w:rStyle w:val="FootnoteReference"/>
          <w:rFonts w:asciiTheme="minorHAnsi" w:eastAsia="Times New Roman" w:hAnsiTheme="minorHAnsi"/>
        </w:rPr>
        <w:footnoteReference w:id="14"/>
      </w:r>
      <w:r w:rsidR="00E70829" w:rsidRPr="00CB1460">
        <w:rPr>
          <w:rFonts w:asciiTheme="minorHAnsi" w:eastAsia="Times New Roman" w:hAnsiTheme="minorHAnsi"/>
        </w:rPr>
        <w:t xml:space="preserve"> The authors point out that whereas</w:t>
      </w:r>
      <w:r w:rsidR="00EA555F" w:rsidRPr="00CB1460">
        <w:rPr>
          <w:rFonts w:asciiTheme="minorHAnsi" w:eastAsia="Times New Roman" w:hAnsiTheme="minorHAnsi"/>
        </w:rPr>
        <w:t xml:space="preserve"> re-rantings were</w:t>
      </w:r>
      <w:r w:rsidR="008B7993" w:rsidRPr="00CB1460">
        <w:rPr>
          <w:rFonts w:asciiTheme="minorHAnsi" w:eastAsia="Times New Roman" w:hAnsiTheme="minorHAnsi"/>
        </w:rPr>
        <w:t xml:space="preserve"> </w:t>
      </w:r>
      <w:r w:rsidR="00EA555F" w:rsidRPr="00CB1460">
        <w:rPr>
          <w:rFonts w:asciiTheme="minorHAnsi" w:eastAsia="Times New Roman" w:hAnsiTheme="minorHAnsi"/>
        </w:rPr>
        <w:t>historically high in 2007 and 2008</w:t>
      </w:r>
      <w:r w:rsidR="008B7993" w:rsidRPr="00CB1460">
        <w:rPr>
          <w:rFonts w:asciiTheme="minorHAnsi" w:eastAsia="Times New Roman" w:hAnsiTheme="minorHAnsi"/>
        </w:rPr>
        <w:t xml:space="preserve">, they weren’t </w:t>
      </w:r>
      <w:r w:rsidR="00EA555F" w:rsidRPr="00CB1460">
        <w:rPr>
          <w:rFonts w:asciiTheme="minorHAnsi" w:eastAsia="Times New Roman" w:hAnsiTheme="minorHAnsi"/>
        </w:rPr>
        <w:t xml:space="preserve">dramatically higher than in 2002 and 2003. Moreover, 80 percent of the ratings </w:t>
      </w:r>
      <w:r w:rsidR="00830A12" w:rsidRPr="00CB1460">
        <w:rPr>
          <w:rFonts w:asciiTheme="minorHAnsi" w:eastAsia="Times New Roman" w:hAnsiTheme="minorHAnsi"/>
        </w:rPr>
        <w:t>of</w:t>
      </w:r>
      <w:r w:rsidR="00DB56EA" w:rsidRPr="00CB1460">
        <w:rPr>
          <w:rFonts w:asciiTheme="minorHAnsi" w:eastAsia="Times New Roman" w:hAnsiTheme="minorHAnsi"/>
        </w:rPr>
        <w:t xml:space="preserve"> structured-</w:t>
      </w:r>
      <w:r w:rsidR="00830A12" w:rsidRPr="00CB1460">
        <w:rPr>
          <w:rFonts w:asciiTheme="minorHAnsi" w:eastAsia="Times New Roman" w:hAnsiTheme="minorHAnsi"/>
        </w:rPr>
        <w:t>finance securities</w:t>
      </w:r>
      <w:r w:rsidR="00E70829" w:rsidRPr="00CB1460">
        <w:rPr>
          <w:rFonts w:asciiTheme="minorHAnsi" w:eastAsia="Times New Roman" w:hAnsiTheme="minorHAnsi"/>
        </w:rPr>
        <w:t xml:space="preserve"> </w:t>
      </w:r>
      <w:r w:rsidR="003B3649" w:rsidRPr="00CB1460">
        <w:rPr>
          <w:rFonts w:asciiTheme="minorHAnsi" w:eastAsia="Times New Roman" w:hAnsiTheme="minorHAnsi"/>
        </w:rPr>
        <w:t xml:space="preserve">were done by more than one firm. </w:t>
      </w:r>
    </w:p>
    <w:p w14:paraId="18FA5F05" w14:textId="77777777" w:rsidR="00DB56EA" w:rsidRPr="00CB1460" w:rsidRDefault="00DB56EA" w:rsidP="00554E0E">
      <w:pPr>
        <w:jc w:val="both"/>
        <w:rPr>
          <w:rFonts w:asciiTheme="minorHAnsi" w:eastAsia="Times New Roman" w:hAnsiTheme="minorHAnsi"/>
        </w:rPr>
      </w:pPr>
    </w:p>
    <w:p w14:paraId="073FECC8" w14:textId="4EE9BA42" w:rsidR="001B0C7C" w:rsidRDefault="00DB4513" w:rsidP="00554E0E">
      <w:pPr>
        <w:jc w:val="both"/>
        <w:rPr>
          <w:rFonts w:asciiTheme="minorHAnsi" w:eastAsia="Times New Roman" w:hAnsiTheme="minorHAnsi"/>
        </w:rPr>
      </w:pPr>
      <w:r w:rsidRPr="00CB1460">
        <w:rPr>
          <w:rFonts w:asciiTheme="minorHAnsi" w:eastAsia="Times New Roman" w:hAnsiTheme="minorHAnsi"/>
        </w:rPr>
        <w:t xml:space="preserve">Since </w:t>
      </w:r>
      <w:r w:rsidR="00DB56EA" w:rsidRPr="00CB1460">
        <w:rPr>
          <w:rFonts w:asciiTheme="minorHAnsi" w:eastAsia="Times New Roman" w:hAnsiTheme="minorHAnsi"/>
        </w:rPr>
        <w:t>structured-</w:t>
      </w:r>
      <w:r w:rsidR="007E5465" w:rsidRPr="00CB1460">
        <w:rPr>
          <w:rFonts w:asciiTheme="minorHAnsi" w:eastAsia="Times New Roman" w:hAnsiTheme="minorHAnsi"/>
        </w:rPr>
        <w:t>finance securities represent</w:t>
      </w:r>
      <w:r w:rsidR="00C70F16" w:rsidRPr="00CB1460">
        <w:rPr>
          <w:rFonts w:asciiTheme="minorHAnsi" w:eastAsia="Times New Roman" w:hAnsiTheme="minorHAnsi"/>
        </w:rPr>
        <w:t>ed</w:t>
      </w:r>
      <w:r w:rsidR="007E5465" w:rsidRPr="00CB1460">
        <w:rPr>
          <w:rFonts w:asciiTheme="minorHAnsi" w:eastAsia="Times New Roman" w:hAnsiTheme="minorHAnsi"/>
        </w:rPr>
        <w:t xml:space="preserve"> </w:t>
      </w:r>
      <w:r w:rsidRPr="00CB1460">
        <w:rPr>
          <w:rFonts w:asciiTheme="minorHAnsi" w:eastAsia="Times New Roman" w:hAnsiTheme="minorHAnsi"/>
        </w:rPr>
        <w:t xml:space="preserve">only 35 percent of the U.S. </w:t>
      </w:r>
      <w:r w:rsidR="007E5465" w:rsidRPr="00CB1460">
        <w:rPr>
          <w:rFonts w:asciiTheme="minorHAnsi" w:eastAsia="Times New Roman" w:hAnsiTheme="minorHAnsi"/>
        </w:rPr>
        <w:t xml:space="preserve">bond market </w:t>
      </w:r>
      <w:r w:rsidR="00C70F16" w:rsidRPr="00CB1460">
        <w:rPr>
          <w:rFonts w:asciiTheme="minorHAnsi" w:eastAsia="Times New Roman" w:hAnsiTheme="minorHAnsi"/>
        </w:rPr>
        <w:t xml:space="preserve">in 2008, </w:t>
      </w:r>
      <w:r w:rsidR="007E5465" w:rsidRPr="00CB1460">
        <w:rPr>
          <w:rFonts w:asciiTheme="minorHAnsi" w:eastAsia="Times New Roman" w:hAnsiTheme="minorHAnsi"/>
        </w:rPr>
        <w:t xml:space="preserve">since only </w:t>
      </w:r>
      <w:r w:rsidR="00C70F16" w:rsidRPr="00CB1460">
        <w:rPr>
          <w:rFonts w:asciiTheme="minorHAnsi" w:eastAsia="Times New Roman" w:hAnsiTheme="minorHAnsi"/>
        </w:rPr>
        <w:t xml:space="preserve">7 percent </w:t>
      </w:r>
      <w:r w:rsidR="00DE58A5" w:rsidRPr="00CB1460">
        <w:rPr>
          <w:rFonts w:asciiTheme="minorHAnsi" w:eastAsia="Times New Roman" w:hAnsiTheme="minorHAnsi"/>
        </w:rPr>
        <w:t xml:space="preserve">of these securities </w:t>
      </w:r>
      <w:r w:rsidR="00FF4598" w:rsidRPr="00CB1460">
        <w:rPr>
          <w:rFonts w:asciiTheme="minorHAnsi" w:eastAsia="Times New Roman" w:hAnsiTheme="minorHAnsi"/>
        </w:rPr>
        <w:t>were re-rated</w:t>
      </w:r>
      <w:r w:rsidR="00C70F16" w:rsidRPr="00CB1460">
        <w:rPr>
          <w:rFonts w:asciiTheme="minorHAnsi" w:eastAsia="Times New Roman" w:hAnsiTheme="minorHAnsi"/>
        </w:rPr>
        <w:t xml:space="preserve">, </w:t>
      </w:r>
      <w:r w:rsidR="00FF4598" w:rsidRPr="00CB1460">
        <w:rPr>
          <w:rFonts w:asciiTheme="minorHAnsi" w:eastAsia="Times New Roman" w:hAnsiTheme="minorHAnsi"/>
        </w:rPr>
        <w:t xml:space="preserve">and since, at most, 20 percent were over-rated due to ratings shopping, overrating affected less than one half of one percent of the U.S. bond market. Furthermore, </w:t>
      </w:r>
      <w:r w:rsidR="002E3EF9" w:rsidRPr="00CB1460">
        <w:rPr>
          <w:rFonts w:asciiTheme="minorHAnsi" w:eastAsia="Times New Roman" w:hAnsiTheme="minorHAnsi"/>
        </w:rPr>
        <w:t>this small figure surely overstates the importance of ratings shopping as ma</w:t>
      </w:r>
      <w:r w:rsidR="00D23F21" w:rsidRPr="00CB1460">
        <w:rPr>
          <w:rFonts w:asciiTheme="minorHAnsi" w:eastAsia="Times New Roman" w:hAnsiTheme="minorHAnsi"/>
        </w:rPr>
        <w:t>ny of the downgrades were</w:t>
      </w:r>
      <w:r w:rsidR="002E3EF9" w:rsidRPr="00CB1460">
        <w:rPr>
          <w:rFonts w:asciiTheme="minorHAnsi" w:eastAsia="Times New Roman" w:hAnsiTheme="minorHAnsi"/>
        </w:rPr>
        <w:t xml:space="preserve"> caused by the GR it</w:t>
      </w:r>
      <w:r w:rsidR="00415CBD" w:rsidRPr="00CB1460">
        <w:rPr>
          <w:rFonts w:asciiTheme="minorHAnsi" w:eastAsia="Times New Roman" w:hAnsiTheme="minorHAnsi"/>
        </w:rPr>
        <w:t>self, thanks to the GR’s</w:t>
      </w:r>
      <w:r w:rsidR="002E3EF9" w:rsidRPr="00CB1460">
        <w:rPr>
          <w:rFonts w:asciiTheme="minorHAnsi" w:eastAsia="Times New Roman" w:hAnsiTheme="minorHAnsi"/>
        </w:rPr>
        <w:t xml:space="preserve"> massive jobs losses</w:t>
      </w:r>
      <w:r w:rsidR="00D23F21" w:rsidRPr="00CB1460">
        <w:rPr>
          <w:rFonts w:asciiTheme="minorHAnsi" w:eastAsia="Times New Roman" w:hAnsiTheme="minorHAnsi"/>
        </w:rPr>
        <w:t xml:space="preserve">. </w:t>
      </w:r>
      <w:r w:rsidR="00415CBD" w:rsidRPr="00CB1460">
        <w:rPr>
          <w:rFonts w:asciiTheme="minorHAnsi" w:eastAsia="Times New Roman" w:hAnsiTheme="minorHAnsi"/>
        </w:rPr>
        <w:t>Indeed, had there been no recession, there would have been no reason for the rating companies, who had allegedly been bribed to overrate the securities</w:t>
      </w:r>
      <w:r w:rsidR="00DB56EA" w:rsidRPr="00CB1460">
        <w:rPr>
          <w:rFonts w:asciiTheme="minorHAnsi" w:eastAsia="Times New Roman" w:hAnsiTheme="minorHAnsi"/>
        </w:rPr>
        <w:t>,</w:t>
      </w:r>
      <w:r w:rsidR="00B5286C" w:rsidRPr="00CB1460">
        <w:rPr>
          <w:rFonts w:asciiTheme="minorHAnsi" w:eastAsia="Times New Roman" w:hAnsiTheme="minorHAnsi"/>
        </w:rPr>
        <w:t xml:space="preserve"> to jeopardize future </w:t>
      </w:r>
      <w:r w:rsidR="00415CBD" w:rsidRPr="00CB1460">
        <w:rPr>
          <w:rFonts w:asciiTheme="minorHAnsi" w:eastAsia="Times New Roman" w:hAnsiTheme="minorHAnsi"/>
        </w:rPr>
        <w:t>bribe</w:t>
      </w:r>
      <w:r w:rsidR="00B5286C" w:rsidRPr="00CB1460">
        <w:rPr>
          <w:rFonts w:asciiTheme="minorHAnsi" w:eastAsia="Times New Roman" w:hAnsiTheme="minorHAnsi"/>
        </w:rPr>
        <w:t>s</w:t>
      </w:r>
      <w:r w:rsidR="00415CBD" w:rsidRPr="00CB1460">
        <w:rPr>
          <w:rFonts w:asciiTheme="minorHAnsi" w:eastAsia="Times New Roman" w:hAnsiTheme="minorHAnsi"/>
        </w:rPr>
        <w:t xml:space="preserve"> by downgrading the securities. </w:t>
      </w:r>
    </w:p>
    <w:p w14:paraId="6721C048" w14:textId="77777777" w:rsidR="00540386" w:rsidRPr="00CB1460" w:rsidRDefault="00540386" w:rsidP="00554E0E">
      <w:pPr>
        <w:jc w:val="both"/>
        <w:rPr>
          <w:rFonts w:asciiTheme="minorHAnsi" w:hAnsiTheme="minorHAnsi"/>
          <w:b/>
        </w:rPr>
      </w:pPr>
    </w:p>
    <w:p w14:paraId="1907D683" w14:textId="378B81CA" w:rsidR="006F3AA7" w:rsidRPr="00CB1460" w:rsidRDefault="001934CC" w:rsidP="00554E0E">
      <w:pPr>
        <w:jc w:val="both"/>
        <w:rPr>
          <w:rFonts w:asciiTheme="minorHAnsi" w:hAnsiTheme="minorHAnsi"/>
        </w:rPr>
      </w:pPr>
      <w:r w:rsidRPr="00CB1460">
        <w:rPr>
          <w:rFonts w:asciiTheme="minorHAnsi" w:hAnsiTheme="minorHAnsi"/>
          <w:b/>
        </w:rPr>
        <w:t>Increased</w:t>
      </w:r>
      <w:r w:rsidR="00687CBC" w:rsidRPr="00CB1460">
        <w:rPr>
          <w:rFonts w:asciiTheme="minorHAnsi" w:hAnsiTheme="minorHAnsi"/>
          <w:b/>
        </w:rPr>
        <w:t xml:space="preserve"> </w:t>
      </w:r>
      <w:r w:rsidR="006D5413" w:rsidRPr="00CB1460">
        <w:rPr>
          <w:rFonts w:asciiTheme="minorHAnsi" w:hAnsiTheme="minorHAnsi"/>
          <w:b/>
        </w:rPr>
        <w:t>Bank Leverage</w:t>
      </w:r>
    </w:p>
    <w:p w14:paraId="6FE841C1" w14:textId="1F860739" w:rsidR="00F37E56" w:rsidRPr="00CB1460" w:rsidRDefault="009A7270" w:rsidP="00554E0E">
      <w:pPr>
        <w:jc w:val="both"/>
        <w:rPr>
          <w:rFonts w:asciiTheme="minorHAnsi" w:hAnsiTheme="minorHAnsi"/>
        </w:rPr>
      </w:pPr>
      <w:r w:rsidRPr="00CB1460">
        <w:rPr>
          <w:rFonts w:asciiTheme="minorHAnsi" w:hAnsiTheme="minorHAnsi"/>
        </w:rPr>
        <w:t xml:space="preserve">Sky-high bank leverage is another </w:t>
      </w:r>
      <w:r w:rsidR="00EF40D9" w:rsidRPr="00CB1460">
        <w:rPr>
          <w:rFonts w:asciiTheme="minorHAnsi" w:hAnsiTheme="minorHAnsi"/>
        </w:rPr>
        <w:t>part of the standard GR explanation. Banks were, we were told, leveraged 33 to 1 in 2008 compared with 12 to 1 in 2004.</w:t>
      </w:r>
      <w:r w:rsidR="00EF40D9" w:rsidRPr="00CB1460">
        <w:rPr>
          <w:rStyle w:val="FootnoteReference"/>
          <w:rFonts w:asciiTheme="minorHAnsi" w:hAnsiTheme="minorHAnsi"/>
        </w:rPr>
        <w:footnoteReference w:id="15"/>
      </w:r>
      <w:r w:rsidR="00EF40D9" w:rsidRPr="00CB1460">
        <w:rPr>
          <w:rFonts w:asciiTheme="minorHAnsi" w:hAnsiTheme="minorHAnsi"/>
        </w:rPr>
        <w:t xml:space="preserve"> The only problem with this view is that it’s not true. </w:t>
      </w:r>
      <w:r w:rsidR="006D091E" w:rsidRPr="00CB1460">
        <w:rPr>
          <w:rFonts w:asciiTheme="minorHAnsi" w:hAnsiTheme="minorHAnsi"/>
        </w:rPr>
        <w:t>Bank leverage actu</w:t>
      </w:r>
      <w:r w:rsidR="00DC69D4" w:rsidRPr="00CB1460">
        <w:rPr>
          <w:rFonts w:asciiTheme="minorHAnsi" w:hAnsiTheme="minorHAnsi"/>
        </w:rPr>
        <w:t xml:space="preserve">ally </w:t>
      </w:r>
      <w:r w:rsidR="006D091E" w:rsidRPr="00CB1460">
        <w:rPr>
          <w:rFonts w:asciiTheme="minorHAnsi" w:hAnsiTheme="minorHAnsi"/>
        </w:rPr>
        <w:t>fell over the period 1988 through 2008.</w:t>
      </w:r>
      <w:r w:rsidR="006D091E" w:rsidRPr="00CB1460">
        <w:rPr>
          <w:rStyle w:val="FootnoteReference"/>
          <w:rFonts w:asciiTheme="minorHAnsi" w:hAnsiTheme="minorHAnsi"/>
        </w:rPr>
        <w:footnoteReference w:id="16"/>
      </w:r>
      <w:r w:rsidR="00DC69D4" w:rsidRPr="00CB1460">
        <w:rPr>
          <w:rFonts w:asciiTheme="minorHAnsi" w:hAnsiTheme="minorHAnsi"/>
        </w:rPr>
        <w:t xml:space="preserve"> </w:t>
      </w:r>
      <w:r w:rsidR="006D091E" w:rsidRPr="00CB1460">
        <w:rPr>
          <w:rFonts w:asciiTheme="minorHAnsi" w:hAnsiTheme="minorHAnsi"/>
        </w:rPr>
        <w:t xml:space="preserve">Equity rose from 6 percent of </w:t>
      </w:r>
      <w:r w:rsidR="0013058A" w:rsidRPr="00CB1460">
        <w:rPr>
          <w:rFonts w:asciiTheme="minorHAnsi" w:hAnsiTheme="minorHAnsi"/>
        </w:rPr>
        <w:t>bank</w:t>
      </w:r>
      <w:r w:rsidR="008205B9" w:rsidRPr="00CB1460">
        <w:rPr>
          <w:rFonts w:asciiTheme="minorHAnsi" w:hAnsiTheme="minorHAnsi"/>
        </w:rPr>
        <w:t xml:space="preserve"> </w:t>
      </w:r>
      <w:r w:rsidR="006D091E" w:rsidRPr="00CB1460">
        <w:rPr>
          <w:rFonts w:asciiTheme="minorHAnsi" w:hAnsiTheme="minorHAnsi"/>
        </w:rPr>
        <w:t>assets in</w:t>
      </w:r>
      <w:r w:rsidR="0013058A" w:rsidRPr="00CB1460">
        <w:rPr>
          <w:rFonts w:asciiTheme="minorHAnsi" w:hAnsiTheme="minorHAnsi"/>
        </w:rPr>
        <w:t xml:space="preserve"> Q1 1988 to 10 percent</w:t>
      </w:r>
      <w:r w:rsidR="006D091E" w:rsidRPr="00CB1460">
        <w:rPr>
          <w:rFonts w:asciiTheme="minorHAnsi" w:hAnsiTheme="minorHAnsi"/>
        </w:rPr>
        <w:t xml:space="preserve"> in Q1 2008. </w:t>
      </w:r>
    </w:p>
    <w:p w14:paraId="03E7FA74" w14:textId="77777777" w:rsidR="00F37E56" w:rsidRPr="00CB1460" w:rsidRDefault="00F37E56" w:rsidP="00554E0E">
      <w:pPr>
        <w:jc w:val="both"/>
        <w:rPr>
          <w:rFonts w:asciiTheme="minorHAnsi" w:hAnsiTheme="minorHAnsi"/>
        </w:rPr>
      </w:pPr>
    </w:p>
    <w:p w14:paraId="1AAD9DC8" w14:textId="02AEFB3F" w:rsidR="00827FD0" w:rsidRPr="00CB1460" w:rsidRDefault="004137C2" w:rsidP="00554E0E">
      <w:pPr>
        <w:jc w:val="both"/>
        <w:rPr>
          <w:rFonts w:asciiTheme="minorHAnsi" w:hAnsiTheme="minorHAnsi"/>
        </w:rPr>
      </w:pPr>
      <w:r w:rsidRPr="00CB1460">
        <w:rPr>
          <w:rFonts w:asciiTheme="minorHAnsi" w:hAnsiTheme="minorHAnsi"/>
        </w:rPr>
        <w:t>Furthermore, l</w:t>
      </w:r>
      <w:r w:rsidR="00F37E56" w:rsidRPr="00CB1460">
        <w:rPr>
          <w:rFonts w:asciiTheme="minorHAnsi" w:hAnsiTheme="minorHAnsi"/>
        </w:rPr>
        <w:t xml:space="preserve">everage ratios, like mortgage default rates, are </w:t>
      </w:r>
      <w:r w:rsidR="008C2973" w:rsidRPr="00CB1460">
        <w:rPr>
          <w:rFonts w:asciiTheme="minorHAnsi" w:hAnsiTheme="minorHAnsi"/>
        </w:rPr>
        <w:t>endogenous to the economy’s state</w:t>
      </w:r>
      <w:r w:rsidR="00F37E56" w:rsidRPr="00CB1460">
        <w:rPr>
          <w:rFonts w:asciiTheme="minorHAnsi" w:hAnsiTheme="minorHAnsi"/>
        </w:rPr>
        <w:t>.</w:t>
      </w:r>
      <w:r w:rsidR="008701BF" w:rsidRPr="00CB1460">
        <w:rPr>
          <w:rFonts w:asciiTheme="minorHAnsi" w:hAnsiTheme="minorHAnsi"/>
        </w:rPr>
        <w:t xml:space="preserve"> Leverage is the ratio of </w:t>
      </w:r>
      <w:r w:rsidR="00827FD0" w:rsidRPr="00CB1460">
        <w:rPr>
          <w:rFonts w:asciiTheme="minorHAnsi" w:hAnsiTheme="minorHAnsi"/>
        </w:rPr>
        <w:t xml:space="preserve">debt to equity. But equity is the value of a company’s assets less its debt. Hence, if the value of a company’s assets fall, its leverage ratio rises. </w:t>
      </w:r>
    </w:p>
    <w:p w14:paraId="1586BAA9" w14:textId="77777777" w:rsidR="00827FD0" w:rsidRPr="00CB1460" w:rsidRDefault="00827FD0" w:rsidP="00554E0E">
      <w:pPr>
        <w:jc w:val="both"/>
        <w:rPr>
          <w:rFonts w:asciiTheme="minorHAnsi" w:hAnsiTheme="minorHAnsi"/>
        </w:rPr>
      </w:pPr>
    </w:p>
    <w:p w14:paraId="769FD9CC" w14:textId="5C7778A6" w:rsidR="00767102" w:rsidRPr="00CB1460" w:rsidRDefault="00FB4903" w:rsidP="00554E0E">
      <w:pPr>
        <w:jc w:val="both"/>
        <w:rPr>
          <w:rFonts w:asciiTheme="minorHAnsi" w:hAnsiTheme="minorHAnsi"/>
        </w:rPr>
      </w:pPr>
      <w:r w:rsidRPr="00CB1460">
        <w:rPr>
          <w:rFonts w:asciiTheme="minorHAnsi" w:hAnsiTheme="minorHAnsi"/>
        </w:rPr>
        <w:t xml:space="preserve">Take a highly opaque </w:t>
      </w:r>
      <w:r w:rsidR="00834BAA" w:rsidRPr="00CB1460">
        <w:rPr>
          <w:rFonts w:asciiTheme="minorHAnsi" w:hAnsiTheme="minorHAnsi"/>
        </w:rPr>
        <w:t xml:space="preserve">and leveraged </w:t>
      </w:r>
      <w:r w:rsidRPr="00CB1460">
        <w:rPr>
          <w:rFonts w:asciiTheme="minorHAnsi" w:hAnsiTheme="minorHAnsi"/>
        </w:rPr>
        <w:t xml:space="preserve">bank, X, that is being shorted by hedge funds. Suppose </w:t>
      </w:r>
      <w:r w:rsidR="00554716" w:rsidRPr="00CB1460">
        <w:rPr>
          <w:rFonts w:asciiTheme="minorHAnsi" w:hAnsiTheme="minorHAnsi"/>
        </w:rPr>
        <w:t xml:space="preserve">the managers of </w:t>
      </w:r>
      <w:r w:rsidRPr="00CB1460">
        <w:rPr>
          <w:rFonts w:asciiTheme="minorHAnsi" w:hAnsiTheme="minorHAnsi"/>
        </w:rPr>
        <w:t>these funds vigorously talk up their position</w:t>
      </w:r>
      <w:r w:rsidR="00834BAA" w:rsidRPr="00CB1460">
        <w:rPr>
          <w:rFonts w:asciiTheme="minorHAnsi" w:hAnsiTheme="minorHAnsi"/>
        </w:rPr>
        <w:t>s</w:t>
      </w:r>
      <w:r w:rsidRPr="00CB1460">
        <w:rPr>
          <w:rFonts w:asciiTheme="minorHAnsi" w:hAnsiTheme="minorHAnsi"/>
        </w:rPr>
        <w:t xml:space="preserve">, telling all who will listen that they’ve checked extensively on X’s assets and </w:t>
      </w:r>
      <w:r w:rsidR="00834BAA" w:rsidRPr="00CB1460">
        <w:rPr>
          <w:rFonts w:asciiTheme="minorHAnsi" w:hAnsiTheme="minorHAnsi"/>
        </w:rPr>
        <w:t xml:space="preserve">found them to be </w:t>
      </w:r>
      <w:r w:rsidR="00D231AC" w:rsidRPr="00CB1460">
        <w:rPr>
          <w:rFonts w:asciiTheme="minorHAnsi" w:hAnsiTheme="minorHAnsi"/>
        </w:rPr>
        <w:t>deeply “troubled</w:t>
      </w:r>
      <w:r w:rsidR="00554716" w:rsidRPr="00CB1460">
        <w:rPr>
          <w:rFonts w:asciiTheme="minorHAnsi" w:hAnsiTheme="minorHAnsi"/>
        </w:rPr>
        <w:t>.</w:t>
      </w:r>
      <w:r w:rsidR="00D231AC" w:rsidRPr="00CB1460">
        <w:rPr>
          <w:rFonts w:asciiTheme="minorHAnsi" w:hAnsiTheme="minorHAnsi"/>
        </w:rPr>
        <w:t>”</w:t>
      </w:r>
      <w:r w:rsidR="004B4AF6" w:rsidRPr="00CB1460">
        <w:rPr>
          <w:rStyle w:val="FootnoteReference"/>
          <w:rFonts w:asciiTheme="minorHAnsi" w:hAnsiTheme="minorHAnsi"/>
        </w:rPr>
        <w:footnoteReference w:id="17"/>
      </w:r>
      <w:r w:rsidR="00D231AC" w:rsidRPr="00CB1460">
        <w:rPr>
          <w:rFonts w:asciiTheme="minorHAnsi" w:hAnsiTheme="minorHAnsi"/>
        </w:rPr>
        <w:t xml:space="preserve"> </w:t>
      </w:r>
      <w:r w:rsidR="00160694" w:rsidRPr="00CB1460">
        <w:rPr>
          <w:rFonts w:asciiTheme="minorHAnsi" w:hAnsiTheme="minorHAnsi"/>
        </w:rPr>
        <w:t>Further</w:t>
      </w:r>
      <w:r w:rsidR="00DB77A4" w:rsidRPr="00CB1460">
        <w:rPr>
          <w:rFonts w:asciiTheme="minorHAnsi" w:hAnsiTheme="minorHAnsi"/>
        </w:rPr>
        <w:t xml:space="preserve"> suppose </w:t>
      </w:r>
      <w:r w:rsidR="00B739C8" w:rsidRPr="00CB1460">
        <w:rPr>
          <w:rFonts w:asciiTheme="minorHAnsi" w:hAnsiTheme="minorHAnsi"/>
        </w:rPr>
        <w:t>enough traders of bank X’s assets become convinced that either a) X’s</w:t>
      </w:r>
      <w:r w:rsidR="002C2960" w:rsidRPr="00CB1460">
        <w:rPr>
          <w:rFonts w:asciiTheme="minorHAnsi" w:hAnsiTheme="minorHAnsi"/>
        </w:rPr>
        <w:t xml:space="preserve"> assets are</w:t>
      </w:r>
      <w:r w:rsidR="00B739C8" w:rsidRPr="00CB1460">
        <w:rPr>
          <w:rFonts w:asciiTheme="minorHAnsi" w:hAnsiTheme="minorHAnsi"/>
        </w:rPr>
        <w:t xml:space="preserve"> troubled, b) other traders believe </w:t>
      </w:r>
      <w:r w:rsidR="00DB77A4" w:rsidRPr="00CB1460">
        <w:rPr>
          <w:rFonts w:asciiTheme="minorHAnsi" w:hAnsiTheme="minorHAnsi"/>
        </w:rPr>
        <w:t xml:space="preserve">X’s assets </w:t>
      </w:r>
      <w:r w:rsidR="00B739C8" w:rsidRPr="00CB1460">
        <w:rPr>
          <w:rFonts w:asciiTheme="minorHAnsi" w:hAnsiTheme="minorHAnsi"/>
        </w:rPr>
        <w:t xml:space="preserve">are troubled </w:t>
      </w:r>
      <w:r w:rsidR="00233A04" w:rsidRPr="00CB1460">
        <w:rPr>
          <w:rFonts w:asciiTheme="minorHAnsi" w:hAnsiTheme="minorHAnsi"/>
        </w:rPr>
        <w:t>or believe other traders so believe</w:t>
      </w:r>
      <w:r w:rsidR="00B739C8" w:rsidRPr="00CB1460">
        <w:rPr>
          <w:rFonts w:asciiTheme="minorHAnsi" w:hAnsiTheme="minorHAnsi"/>
        </w:rPr>
        <w:t xml:space="preserve">, or c) </w:t>
      </w:r>
      <w:r w:rsidR="00DB77A4" w:rsidRPr="00CB1460">
        <w:rPr>
          <w:rFonts w:asciiTheme="minorHAnsi" w:hAnsiTheme="minorHAnsi"/>
        </w:rPr>
        <w:t>X needs criti</w:t>
      </w:r>
      <w:r w:rsidR="00B3307F" w:rsidRPr="00CB1460">
        <w:rPr>
          <w:rFonts w:asciiTheme="minorHAnsi" w:hAnsiTheme="minorHAnsi"/>
        </w:rPr>
        <w:t>cal-</w:t>
      </w:r>
      <w:r w:rsidR="00DB77A4" w:rsidRPr="00CB1460">
        <w:rPr>
          <w:rFonts w:asciiTheme="minorHAnsi" w:hAnsiTheme="minorHAnsi"/>
        </w:rPr>
        <w:t xml:space="preserve">mass refunding from multiple funders, many of whom may decline to fund because they are worried others won’t refund. In this case, the traders will sell the type of assets held by X because they realize </w:t>
      </w:r>
      <w:r w:rsidR="001B0693" w:rsidRPr="00CB1460">
        <w:rPr>
          <w:rFonts w:asciiTheme="minorHAnsi" w:hAnsiTheme="minorHAnsi"/>
        </w:rPr>
        <w:t>X will need to dump its assets</w:t>
      </w:r>
      <w:r w:rsidR="00B3307F" w:rsidRPr="00CB1460">
        <w:rPr>
          <w:rFonts w:asciiTheme="minorHAnsi" w:hAnsiTheme="minorHAnsi"/>
        </w:rPr>
        <w:t xml:space="preserve"> on the market</w:t>
      </w:r>
      <w:r w:rsidR="001B0693" w:rsidRPr="00CB1460">
        <w:rPr>
          <w:rFonts w:asciiTheme="minorHAnsi" w:hAnsiTheme="minorHAnsi"/>
        </w:rPr>
        <w:t xml:space="preserve"> to stay liquid.</w:t>
      </w:r>
      <w:r w:rsidR="00B3307F" w:rsidRPr="00CB1460">
        <w:rPr>
          <w:rFonts w:asciiTheme="minorHAnsi" w:hAnsiTheme="minorHAnsi"/>
        </w:rPr>
        <w:t xml:space="preserve"> </w:t>
      </w:r>
      <w:r w:rsidR="00796780" w:rsidRPr="00CB1460">
        <w:rPr>
          <w:rFonts w:asciiTheme="minorHAnsi" w:hAnsiTheme="minorHAnsi"/>
        </w:rPr>
        <w:t>The result is a fire sale of X’s assets, a drop, potentially precipitous, in the price of X’s assets, and a rise in X’s leverage.</w:t>
      </w:r>
      <w:r w:rsidR="00F55E33" w:rsidRPr="00CB1460">
        <w:rPr>
          <w:rStyle w:val="FootnoteReference"/>
          <w:rFonts w:asciiTheme="minorHAnsi" w:hAnsiTheme="minorHAnsi"/>
        </w:rPr>
        <w:footnoteReference w:id="18"/>
      </w:r>
      <w:r w:rsidR="00796780" w:rsidRPr="00CB1460">
        <w:rPr>
          <w:rFonts w:asciiTheme="minorHAnsi" w:hAnsiTheme="minorHAnsi"/>
        </w:rPr>
        <w:t xml:space="preserve"> </w:t>
      </w:r>
    </w:p>
    <w:p w14:paraId="77A10262" w14:textId="77777777" w:rsidR="006D6AB7" w:rsidRPr="00CB1460" w:rsidRDefault="006D6AB7" w:rsidP="00554E0E">
      <w:pPr>
        <w:jc w:val="both"/>
        <w:rPr>
          <w:rFonts w:asciiTheme="minorHAnsi" w:hAnsiTheme="minorHAnsi"/>
        </w:rPr>
      </w:pPr>
    </w:p>
    <w:p w14:paraId="57E84EBA" w14:textId="0825FE62" w:rsidR="006D6AB7" w:rsidRPr="00CB1460" w:rsidRDefault="006D6AB7" w:rsidP="00554E0E">
      <w:pPr>
        <w:jc w:val="both"/>
        <w:rPr>
          <w:rFonts w:asciiTheme="minorHAnsi" w:hAnsiTheme="minorHAnsi"/>
        </w:rPr>
      </w:pPr>
      <w:r w:rsidRPr="00CB1460">
        <w:rPr>
          <w:rFonts w:asciiTheme="minorHAnsi" w:hAnsiTheme="minorHAnsi"/>
        </w:rPr>
        <w:t xml:space="preserve">Given </w:t>
      </w:r>
      <w:r w:rsidR="00A963E5" w:rsidRPr="00CB1460">
        <w:rPr>
          <w:rFonts w:asciiTheme="minorHAnsi" w:hAnsiTheme="minorHAnsi"/>
        </w:rPr>
        <w:t xml:space="preserve">the severity of the stock market crash subsequent to Lehman’s failure, one might think that leverage ratios rose dramatically during the recession. Not the case. Federal Reserve data shows the equity ratio failing </w:t>
      </w:r>
      <w:r w:rsidR="00A37FD7" w:rsidRPr="00CB1460">
        <w:rPr>
          <w:rFonts w:asciiTheme="minorHAnsi" w:hAnsiTheme="minorHAnsi"/>
        </w:rPr>
        <w:t>from 10 to</w:t>
      </w:r>
      <w:r w:rsidR="00EE42AD" w:rsidRPr="00CB1460">
        <w:rPr>
          <w:rFonts w:asciiTheme="minorHAnsi" w:hAnsiTheme="minorHAnsi"/>
        </w:rPr>
        <w:t xml:space="preserve"> just</w:t>
      </w:r>
      <w:r w:rsidR="00A37FD7" w:rsidRPr="00CB1460">
        <w:rPr>
          <w:rFonts w:asciiTheme="minorHAnsi" w:hAnsiTheme="minorHAnsi"/>
        </w:rPr>
        <w:t xml:space="preserve"> 9 percent</w:t>
      </w:r>
      <w:r w:rsidR="00EE42AD" w:rsidRPr="00CB1460">
        <w:rPr>
          <w:rFonts w:asciiTheme="minorHAnsi" w:hAnsiTheme="minorHAnsi"/>
        </w:rPr>
        <w:t xml:space="preserve"> – a higher value than was registered </w:t>
      </w:r>
      <w:r w:rsidR="00A37FD7" w:rsidRPr="00CB1460">
        <w:rPr>
          <w:rFonts w:asciiTheme="minorHAnsi" w:hAnsiTheme="minorHAnsi"/>
        </w:rPr>
        <w:t xml:space="preserve">in the prior 16 years. </w:t>
      </w:r>
    </w:p>
    <w:p w14:paraId="20BCFC11" w14:textId="77777777" w:rsidR="00A37FD7" w:rsidRPr="00CB1460" w:rsidRDefault="00A37FD7" w:rsidP="00554E0E">
      <w:pPr>
        <w:jc w:val="both"/>
        <w:rPr>
          <w:rFonts w:asciiTheme="minorHAnsi" w:hAnsiTheme="minorHAnsi"/>
        </w:rPr>
      </w:pPr>
    </w:p>
    <w:p w14:paraId="3D93D3EE" w14:textId="40E6C3AD" w:rsidR="00F22D26" w:rsidRPr="00CB1460" w:rsidRDefault="00A37FD7" w:rsidP="00554E0E">
      <w:pPr>
        <w:jc w:val="both"/>
        <w:rPr>
          <w:rFonts w:asciiTheme="minorHAnsi" w:hAnsiTheme="minorHAnsi"/>
        </w:rPr>
      </w:pPr>
      <w:r w:rsidRPr="00CB1460">
        <w:rPr>
          <w:rFonts w:asciiTheme="minorHAnsi" w:hAnsiTheme="minorHAnsi"/>
        </w:rPr>
        <w:t>The Fed data suggest that banks</w:t>
      </w:r>
      <w:r w:rsidR="0061096E" w:rsidRPr="00CB1460">
        <w:rPr>
          <w:rFonts w:asciiTheme="minorHAnsi" w:hAnsiTheme="minorHAnsi"/>
        </w:rPr>
        <w:t>, as a group,</w:t>
      </w:r>
      <w:r w:rsidRPr="00CB1460">
        <w:rPr>
          <w:rFonts w:asciiTheme="minorHAnsi" w:hAnsiTheme="minorHAnsi"/>
        </w:rPr>
        <w:t xml:space="preserve"> were leveraged only 10 to 1 at the beginning of 2008, when the GR officially began. </w:t>
      </w:r>
      <w:r w:rsidR="0061096E" w:rsidRPr="00CB1460">
        <w:rPr>
          <w:rFonts w:asciiTheme="minorHAnsi" w:hAnsiTheme="minorHAnsi"/>
        </w:rPr>
        <w:t xml:space="preserve">But what about the large investment banks? Was their leverage exceptionally high prior to the GR? Actually, no. </w:t>
      </w:r>
      <w:r w:rsidR="009A4E90" w:rsidRPr="00CB1460">
        <w:rPr>
          <w:rFonts w:asciiTheme="minorHAnsi" w:hAnsiTheme="minorHAnsi"/>
        </w:rPr>
        <w:t xml:space="preserve">William Cohan debunked this </w:t>
      </w:r>
      <w:r w:rsidR="003269E1" w:rsidRPr="00CB1460">
        <w:rPr>
          <w:rFonts w:asciiTheme="minorHAnsi" w:hAnsiTheme="minorHAnsi"/>
        </w:rPr>
        <w:t xml:space="preserve">widespread </w:t>
      </w:r>
      <w:r w:rsidR="009A4E90" w:rsidRPr="00CB1460">
        <w:rPr>
          <w:rFonts w:asciiTheme="minorHAnsi" w:hAnsiTheme="minorHAnsi"/>
        </w:rPr>
        <w:t xml:space="preserve">myth in an </w:t>
      </w:r>
      <w:r w:rsidR="003269E1" w:rsidRPr="00CB1460">
        <w:rPr>
          <w:rFonts w:asciiTheme="minorHAnsi" w:hAnsiTheme="minorHAnsi"/>
          <w:i/>
        </w:rPr>
        <w:t xml:space="preserve">Atlantic </w:t>
      </w:r>
      <w:r w:rsidR="009A4E90" w:rsidRPr="00CB1460">
        <w:rPr>
          <w:rFonts w:asciiTheme="minorHAnsi" w:hAnsiTheme="minorHAnsi"/>
        </w:rPr>
        <w:t>article entitled, “How We Got the Crash Wrong – Leverage Was Not the Problem – Incentives Were and Still Are.”</w:t>
      </w:r>
      <w:r w:rsidR="009A4E90" w:rsidRPr="00CB1460">
        <w:rPr>
          <w:rStyle w:val="FootnoteReference"/>
          <w:rFonts w:asciiTheme="minorHAnsi" w:hAnsiTheme="minorHAnsi"/>
        </w:rPr>
        <w:t xml:space="preserve"> </w:t>
      </w:r>
      <w:r w:rsidR="009A4E90" w:rsidRPr="00CB1460">
        <w:rPr>
          <w:rStyle w:val="FootnoteReference"/>
          <w:rFonts w:asciiTheme="minorHAnsi" w:hAnsiTheme="minorHAnsi"/>
        </w:rPr>
        <w:footnoteReference w:id="19"/>
      </w:r>
      <w:r w:rsidR="009A4E90" w:rsidRPr="00CB1460">
        <w:rPr>
          <w:rFonts w:asciiTheme="minorHAnsi" w:hAnsiTheme="minorHAnsi"/>
        </w:rPr>
        <w:t xml:space="preserve"> </w:t>
      </w:r>
    </w:p>
    <w:p w14:paraId="17A0E0BA" w14:textId="77777777" w:rsidR="00F22D26" w:rsidRPr="00CB1460" w:rsidRDefault="00F22D26" w:rsidP="00554E0E">
      <w:pPr>
        <w:jc w:val="both"/>
        <w:rPr>
          <w:rFonts w:asciiTheme="minorHAnsi" w:hAnsiTheme="minorHAnsi"/>
        </w:rPr>
      </w:pPr>
    </w:p>
    <w:p w14:paraId="687534AA" w14:textId="6CD130D6" w:rsidR="009A4E90" w:rsidRPr="00CB1460" w:rsidRDefault="0031336F" w:rsidP="00554E0E">
      <w:pPr>
        <w:jc w:val="both"/>
        <w:rPr>
          <w:rFonts w:asciiTheme="minorHAnsi" w:hAnsiTheme="minorHAnsi"/>
        </w:rPr>
      </w:pPr>
      <w:r w:rsidRPr="00CB1460">
        <w:rPr>
          <w:rFonts w:asciiTheme="minorHAnsi" w:hAnsiTheme="minorHAnsi"/>
        </w:rPr>
        <w:t>Cohan’</w:t>
      </w:r>
      <w:r w:rsidR="00857691" w:rsidRPr="00CB1460">
        <w:rPr>
          <w:rFonts w:asciiTheme="minorHAnsi" w:hAnsiTheme="minorHAnsi"/>
        </w:rPr>
        <w:t>s point is supported by</w:t>
      </w:r>
      <w:r w:rsidRPr="00CB1460">
        <w:rPr>
          <w:rFonts w:asciiTheme="minorHAnsi" w:hAnsiTheme="minorHAnsi"/>
        </w:rPr>
        <w:t xml:space="preserve"> an April 2008 paper issued by Lehman Brothers, entitled </w:t>
      </w:r>
      <w:r w:rsidR="00864456" w:rsidRPr="00CB1460">
        <w:rPr>
          <w:rFonts w:asciiTheme="minorHAnsi" w:hAnsiTheme="minorHAnsi"/>
        </w:rPr>
        <w:t>“</w:t>
      </w:r>
      <w:r w:rsidRPr="00CB1460">
        <w:rPr>
          <w:rFonts w:asciiTheme="minorHAnsi" w:hAnsiTheme="minorHAnsi"/>
        </w:rPr>
        <w:t>Lehman Brothers – Leverage Analysis.</w:t>
      </w:r>
      <w:r w:rsidR="00864456" w:rsidRPr="00CB1460">
        <w:rPr>
          <w:rFonts w:asciiTheme="minorHAnsi" w:hAnsiTheme="minorHAnsi"/>
        </w:rPr>
        <w:t>”</w:t>
      </w:r>
      <w:r w:rsidR="00792B47" w:rsidRPr="00CB1460">
        <w:rPr>
          <w:rStyle w:val="FootnoteReference"/>
          <w:rFonts w:asciiTheme="minorHAnsi" w:hAnsiTheme="minorHAnsi"/>
        </w:rPr>
        <w:footnoteReference w:id="20"/>
      </w:r>
      <w:r w:rsidRPr="00CB1460">
        <w:rPr>
          <w:rFonts w:asciiTheme="minorHAnsi" w:hAnsiTheme="minorHAnsi"/>
        </w:rPr>
        <w:t xml:space="preserve"> The paper </w:t>
      </w:r>
      <w:r w:rsidR="00DA1038" w:rsidRPr="00CB1460">
        <w:rPr>
          <w:rFonts w:asciiTheme="minorHAnsi" w:hAnsiTheme="minorHAnsi"/>
        </w:rPr>
        <w:t xml:space="preserve">shows that Lehman was no more leveraged in 2007 </w:t>
      </w:r>
      <w:r w:rsidR="00DA1038" w:rsidRPr="00CB1460">
        <w:rPr>
          <w:rFonts w:asciiTheme="minorHAnsi" w:hAnsiTheme="minorHAnsi"/>
        </w:rPr>
        <w:lastRenderedPageBreak/>
        <w:t xml:space="preserve">than </w:t>
      </w:r>
      <w:r w:rsidR="000A3D9C" w:rsidRPr="00CB1460">
        <w:rPr>
          <w:rFonts w:asciiTheme="minorHAnsi" w:hAnsiTheme="minorHAnsi"/>
        </w:rPr>
        <w:t>in 2003</w:t>
      </w:r>
      <w:r w:rsidR="00DA1038" w:rsidRPr="00CB1460">
        <w:rPr>
          <w:rFonts w:asciiTheme="minorHAnsi" w:hAnsiTheme="minorHAnsi"/>
        </w:rPr>
        <w:t>.</w:t>
      </w:r>
      <w:r w:rsidR="00DA1038" w:rsidRPr="00CB1460">
        <w:rPr>
          <w:rStyle w:val="FootnoteReference"/>
          <w:rFonts w:asciiTheme="minorHAnsi" w:hAnsiTheme="minorHAnsi"/>
        </w:rPr>
        <w:footnoteReference w:id="21"/>
      </w:r>
      <w:r w:rsidR="00DA1038" w:rsidRPr="00CB1460">
        <w:rPr>
          <w:rFonts w:asciiTheme="minorHAnsi" w:hAnsiTheme="minorHAnsi"/>
        </w:rPr>
        <w:t xml:space="preserve"> </w:t>
      </w:r>
      <w:r w:rsidR="009A4E90" w:rsidRPr="00CB1460">
        <w:rPr>
          <w:rFonts w:asciiTheme="minorHAnsi" w:hAnsiTheme="minorHAnsi"/>
        </w:rPr>
        <w:t xml:space="preserve">Moreover, Bear Stearns was only slightly more leveraged in 2007 than in 2003. And, as Cohan points out, Bear Sterns was </w:t>
      </w:r>
      <w:r w:rsidR="00F37AE2" w:rsidRPr="00CB1460">
        <w:rPr>
          <w:rFonts w:asciiTheme="minorHAnsi" w:hAnsiTheme="minorHAnsi"/>
        </w:rPr>
        <w:t>more leveraged in 1998 than in 200</w:t>
      </w:r>
      <w:r w:rsidR="009A4E90" w:rsidRPr="00CB1460">
        <w:rPr>
          <w:rFonts w:asciiTheme="minorHAnsi" w:hAnsiTheme="minorHAnsi"/>
        </w:rPr>
        <w:t>8.</w:t>
      </w:r>
      <w:r w:rsidR="00716D1F" w:rsidRPr="00CB1460">
        <w:rPr>
          <w:rFonts w:asciiTheme="minorHAnsi" w:hAnsiTheme="minorHAnsi"/>
        </w:rPr>
        <w:t xml:space="preserve"> Interestingly, the three large investment banks that didn’t face runs – Goldman Sachs, Morgan Stanley, and Merrill Lynch </w:t>
      </w:r>
      <w:r w:rsidR="00F329E3" w:rsidRPr="00CB1460">
        <w:rPr>
          <w:rFonts w:asciiTheme="minorHAnsi" w:hAnsiTheme="minorHAnsi"/>
        </w:rPr>
        <w:t>–</w:t>
      </w:r>
      <w:r w:rsidR="00716D1F" w:rsidRPr="00CB1460">
        <w:rPr>
          <w:rFonts w:asciiTheme="minorHAnsi" w:hAnsiTheme="minorHAnsi"/>
        </w:rPr>
        <w:t xml:space="preserve"> </w:t>
      </w:r>
      <w:r w:rsidR="00F329E3" w:rsidRPr="00CB1460">
        <w:rPr>
          <w:rFonts w:asciiTheme="minorHAnsi" w:hAnsiTheme="minorHAnsi"/>
        </w:rPr>
        <w:t>did materially increase their le</w:t>
      </w:r>
      <w:r w:rsidR="00AB5ED7" w:rsidRPr="00CB1460">
        <w:rPr>
          <w:rFonts w:asciiTheme="minorHAnsi" w:hAnsiTheme="minorHAnsi"/>
        </w:rPr>
        <w:t>verage in the run up to the GR, but not beyond leverage rates se</w:t>
      </w:r>
      <w:r w:rsidR="00F37AE2" w:rsidRPr="00CB1460">
        <w:rPr>
          <w:rFonts w:asciiTheme="minorHAnsi" w:hAnsiTheme="minorHAnsi"/>
        </w:rPr>
        <w:t xml:space="preserve">en </w:t>
      </w:r>
      <w:r w:rsidR="00AB5ED7" w:rsidRPr="00CB1460">
        <w:rPr>
          <w:rFonts w:asciiTheme="minorHAnsi" w:hAnsiTheme="minorHAnsi"/>
        </w:rPr>
        <w:t xml:space="preserve">years in the past. </w:t>
      </w:r>
      <w:r w:rsidR="000A3D9C" w:rsidRPr="00CB1460">
        <w:rPr>
          <w:rFonts w:asciiTheme="minorHAnsi" w:hAnsiTheme="minorHAnsi"/>
        </w:rPr>
        <w:t>Still the</w:t>
      </w:r>
      <w:r w:rsidR="000C5484" w:rsidRPr="00CB1460">
        <w:rPr>
          <w:rFonts w:asciiTheme="minorHAnsi" w:hAnsiTheme="minorHAnsi"/>
        </w:rPr>
        <w:t xml:space="preserve"> fact</w:t>
      </w:r>
      <w:r w:rsidR="000A3D9C" w:rsidRPr="00CB1460">
        <w:rPr>
          <w:rFonts w:asciiTheme="minorHAnsi" w:hAnsiTheme="minorHAnsi"/>
        </w:rPr>
        <w:t xml:space="preserve"> that the investment banks, which</w:t>
      </w:r>
      <w:r w:rsidR="000C5484" w:rsidRPr="00CB1460">
        <w:rPr>
          <w:rFonts w:asciiTheme="minorHAnsi" w:hAnsiTheme="minorHAnsi"/>
        </w:rPr>
        <w:t xml:space="preserve"> maintained their leverage</w:t>
      </w:r>
      <w:r w:rsidR="000A3D9C" w:rsidRPr="00CB1460">
        <w:rPr>
          <w:rFonts w:asciiTheme="minorHAnsi" w:hAnsiTheme="minorHAnsi"/>
        </w:rPr>
        <w:t>,</w:t>
      </w:r>
      <w:r w:rsidR="000C5484" w:rsidRPr="00CB1460">
        <w:rPr>
          <w:rFonts w:asciiTheme="minorHAnsi" w:hAnsiTheme="minorHAnsi"/>
        </w:rPr>
        <w:t xml:space="preserve"> c</w:t>
      </w:r>
      <w:r w:rsidR="000A3D9C" w:rsidRPr="00CB1460">
        <w:rPr>
          <w:rFonts w:asciiTheme="minorHAnsi" w:hAnsiTheme="minorHAnsi"/>
        </w:rPr>
        <w:t>ame under attack, but invest</w:t>
      </w:r>
      <w:r w:rsidR="000C5484" w:rsidRPr="00CB1460">
        <w:rPr>
          <w:rFonts w:asciiTheme="minorHAnsi" w:hAnsiTheme="minorHAnsi"/>
        </w:rPr>
        <w:t>ment banks t</w:t>
      </w:r>
      <w:r w:rsidR="000A3D9C" w:rsidRPr="00CB1460">
        <w:rPr>
          <w:rFonts w:asciiTheme="minorHAnsi" w:hAnsiTheme="minorHAnsi"/>
        </w:rPr>
        <w:t>hat raised their leverage did not</w:t>
      </w:r>
      <w:r w:rsidR="00F37AE2" w:rsidRPr="00CB1460">
        <w:rPr>
          <w:rFonts w:asciiTheme="minorHAnsi" w:hAnsiTheme="minorHAnsi"/>
        </w:rPr>
        <w:t>,</w:t>
      </w:r>
      <w:r w:rsidR="000A3D9C" w:rsidRPr="00CB1460">
        <w:rPr>
          <w:rFonts w:asciiTheme="minorHAnsi" w:hAnsiTheme="minorHAnsi"/>
        </w:rPr>
        <w:t xml:space="preserve"> provides more evidence against </w:t>
      </w:r>
      <w:r w:rsidR="00687CBC" w:rsidRPr="00CB1460">
        <w:rPr>
          <w:rFonts w:asciiTheme="minorHAnsi" w:hAnsiTheme="minorHAnsi"/>
        </w:rPr>
        <w:t xml:space="preserve">increasing </w:t>
      </w:r>
      <w:r w:rsidR="000A3D9C" w:rsidRPr="00CB1460">
        <w:rPr>
          <w:rFonts w:asciiTheme="minorHAnsi" w:hAnsiTheme="minorHAnsi"/>
        </w:rPr>
        <w:t xml:space="preserve">leverage as a GR culprit. </w:t>
      </w:r>
    </w:p>
    <w:p w14:paraId="30E6D2BA" w14:textId="77777777" w:rsidR="005A34B0" w:rsidRPr="00CB1460" w:rsidRDefault="005A34B0" w:rsidP="00554E0E">
      <w:pPr>
        <w:jc w:val="both"/>
        <w:rPr>
          <w:rFonts w:asciiTheme="minorHAnsi" w:hAnsiTheme="minorHAnsi"/>
        </w:rPr>
      </w:pPr>
    </w:p>
    <w:p w14:paraId="222F073C" w14:textId="72A0D7BC" w:rsidR="005A34B0" w:rsidRPr="00CB1460" w:rsidRDefault="005A34B0" w:rsidP="00554E0E">
      <w:pPr>
        <w:jc w:val="both"/>
        <w:rPr>
          <w:rFonts w:asciiTheme="minorHAnsi" w:hAnsiTheme="minorHAnsi"/>
          <w:b/>
        </w:rPr>
      </w:pPr>
      <w:r w:rsidRPr="00CB1460">
        <w:rPr>
          <w:rFonts w:asciiTheme="minorHAnsi" w:hAnsiTheme="minorHAnsi"/>
          <w:b/>
        </w:rPr>
        <w:t>Too Little Capital</w:t>
      </w:r>
    </w:p>
    <w:p w14:paraId="01353E3A" w14:textId="5C12F07D" w:rsidR="005A34B0" w:rsidRPr="00CB1460" w:rsidRDefault="002C1D90" w:rsidP="00554E0E">
      <w:pPr>
        <w:jc w:val="both"/>
        <w:rPr>
          <w:rFonts w:asciiTheme="minorHAnsi" w:hAnsiTheme="minorHAnsi"/>
        </w:rPr>
      </w:pPr>
      <w:r w:rsidRPr="00CB1460">
        <w:rPr>
          <w:rFonts w:asciiTheme="minorHAnsi" w:hAnsiTheme="minorHAnsi"/>
        </w:rPr>
        <w:t>Another view of GR’s cause</w:t>
      </w:r>
      <w:r w:rsidR="005A34B0" w:rsidRPr="00CB1460">
        <w:rPr>
          <w:rFonts w:asciiTheme="minorHAnsi" w:hAnsiTheme="minorHAnsi"/>
        </w:rPr>
        <w:t xml:space="preserve"> is that banks failed due to insufficient capital. </w:t>
      </w:r>
      <w:r w:rsidR="00CA6913" w:rsidRPr="00CB1460">
        <w:rPr>
          <w:rFonts w:asciiTheme="minorHAnsi" w:hAnsiTheme="minorHAnsi"/>
        </w:rPr>
        <w:t xml:space="preserve">Capital </w:t>
      </w:r>
      <w:r w:rsidR="00202824" w:rsidRPr="00CB1460">
        <w:rPr>
          <w:rFonts w:asciiTheme="minorHAnsi" w:hAnsiTheme="minorHAnsi"/>
        </w:rPr>
        <w:t>references the ratio of a bank’s equity to its assets.</w:t>
      </w:r>
      <w:r w:rsidR="009A596C" w:rsidRPr="00CB1460">
        <w:rPr>
          <w:rStyle w:val="FootnoteReference"/>
          <w:rFonts w:asciiTheme="minorHAnsi" w:hAnsiTheme="minorHAnsi"/>
        </w:rPr>
        <w:footnoteReference w:id="22"/>
      </w:r>
      <w:r w:rsidR="00202824" w:rsidRPr="00CB1460">
        <w:rPr>
          <w:rFonts w:asciiTheme="minorHAnsi" w:hAnsiTheme="minorHAnsi"/>
        </w:rPr>
        <w:t xml:space="preserve"> A bank with a</w:t>
      </w:r>
      <w:r w:rsidR="00942AB8" w:rsidRPr="00CB1460">
        <w:rPr>
          <w:rFonts w:asciiTheme="minorHAnsi" w:hAnsiTheme="minorHAnsi"/>
        </w:rPr>
        <w:t xml:space="preserve"> sufficiently </w:t>
      </w:r>
      <w:r w:rsidR="00202824" w:rsidRPr="00CB1460">
        <w:rPr>
          <w:rFonts w:asciiTheme="minorHAnsi" w:hAnsiTheme="minorHAnsi"/>
        </w:rPr>
        <w:t xml:space="preserve">high capital ratio </w:t>
      </w:r>
      <w:r w:rsidR="00942AB8" w:rsidRPr="00CB1460">
        <w:rPr>
          <w:rFonts w:asciiTheme="minorHAnsi" w:hAnsiTheme="minorHAnsi"/>
        </w:rPr>
        <w:t>is viewed as safe from failure. This, after all, is the goal of Dodd-Frank’s stress tests –</w:t>
      </w:r>
      <w:r w:rsidR="002067D9" w:rsidRPr="00CB1460">
        <w:rPr>
          <w:rFonts w:asciiTheme="minorHAnsi" w:hAnsiTheme="minorHAnsi"/>
        </w:rPr>
        <w:t xml:space="preserve"> </w:t>
      </w:r>
      <w:r w:rsidR="00942AB8" w:rsidRPr="00CB1460">
        <w:rPr>
          <w:rFonts w:asciiTheme="minorHAnsi" w:hAnsiTheme="minorHAnsi"/>
        </w:rPr>
        <w:t>insuring</w:t>
      </w:r>
      <w:r w:rsidR="00E73B44" w:rsidRPr="00CB1460">
        <w:rPr>
          <w:rFonts w:asciiTheme="minorHAnsi" w:hAnsiTheme="minorHAnsi"/>
        </w:rPr>
        <w:t xml:space="preserve"> banks</w:t>
      </w:r>
      <w:r w:rsidRPr="00CB1460">
        <w:rPr>
          <w:rFonts w:asciiTheme="minorHAnsi" w:hAnsiTheme="minorHAnsi"/>
        </w:rPr>
        <w:t xml:space="preserve"> have sufficient capital to prevent a replay of the </w:t>
      </w:r>
      <w:r w:rsidR="002067D9" w:rsidRPr="00CB1460">
        <w:rPr>
          <w:rFonts w:asciiTheme="minorHAnsi" w:hAnsiTheme="minorHAnsi"/>
        </w:rPr>
        <w:t xml:space="preserve">2007-2009 financial crisis. </w:t>
      </w:r>
    </w:p>
    <w:p w14:paraId="2731EB75" w14:textId="77777777" w:rsidR="002067D9" w:rsidRPr="00CB1460" w:rsidRDefault="002067D9" w:rsidP="00554E0E">
      <w:pPr>
        <w:jc w:val="both"/>
        <w:rPr>
          <w:rFonts w:asciiTheme="minorHAnsi" w:hAnsiTheme="minorHAnsi"/>
        </w:rPr>
      </w:pPr>
    </w:p>
    <w:p w14:paraId="176FF0E4" w14:textId="6408E9F0" w:rsidR="004A4D1F" w:rsidRPr="00CB1460" w:rsidRDefault="002A293F" w:rsidP="00AA0A17">
      <w:pPr>
        <w:jc w:val="both"/>
        <w:rPr>
          <w:rFonts w:asciiTheme="minorHAnsi" w:eastAsia="Times New Roman" w:hAnsiTheme="minorHAnsi"/>
        </w:rPr>
      </w:pPr>
      <w:r w:rsidRPr="00CB1460">
        <w:rPr>
          <w:rFonts w:asciiTheme="minorHAnsi" w:hAnsiTheme="minorHAnsi"/>
        </w:rPr>
        <w:t>The Wikipedia entry for Bear Stearns indicates the company was leverage</w:t>
      </w:r>
      <w:r w:rsidR="00730C29" w:rsidRPr="00CB1460">
        <w:rPr>
          <w:rFonts w:asciiTheme="minorHAnsi" w:hAnsiTheme="minorHAnsi"/>
        </w:rPr>
        <w:t>d</w:t>
      </w:r>
      <w:r w:rsidRPr="00CB1460">
        <w:rPr>
          <w:rFonts w:asciiTheme="minorHAnsi" w:hAnsiTheme="minorHAnsi"/>
        </w:rPr>
        <w:t xml:space="preserve"> 36 to 1 leading up to its collapse.</w:t>
      </w:r>
      <w:r w:rsidR="00A67F9B" w:rsidRPr="00CB1460">
        <w:rPr>
          <w:rStyle w:val="FootnoteReference"/>
          <w:rFonts w:asciiTheme="minorHAnsi" w:hAnsiTheme="minorHAnsi"/>
        </w:rPr>
        <w:footnoteReference w:id="23"/>
      </w:r>
      <w:r w:rsidRPr="00CB1460">
        <w:rPr>
          <w:rFonts w:asciiTheme="minorHAnsi" w:hAnsiTheme="minorHAnsi"/>
        </w:rPr>
        <w:t xml:space="preserve"> </w:t>
      </w:r>
      <w:r w:rsidR="009F2FA6" w:rsidRPr="00CB1460">
        <w:rPr>
          <w:rFonts w:asciiTheme="minorHAnsi" w:hAnsiTheme="minorHAnsi"/>
        </w:rPr>
        <w:t xml:space="preserve">That’s a capital ratio of </w:t>
      </w:r>
      <w:r w:rsidR="00730C29" w:rsidRPr="00CB1460">
        <w:rPr>
          <w:rFonts w:asciiTheme="minorHAnsi" w:hAnsiTheme="minorHAnsi"/>
        </w:rPr>
        <w:t xml:space="preserve">less than 3 percent – far </w:t>
      </w:r>
      <w:r w:rsidR="00D05D52" w:rsidRPr="00CB1460">
        <w:rPr>
          <w:rFonts w:asciiTheme="minorHAnsi" w:hAnsiTheme="minorHAnsi"/>
        </w:rPr>
        <w:t>below the regulatory</w:t>
      </w:r>
      <w:r w:rsidR="00730C29" w:rsidRPr="00CB1460">
        <w:rPr>
          <w:rFonts w:asciiTheme="minorHAnsi" w:hAnsiTheme="minorHAnsi"/>
        </w:rPr>
        <w:t xml:space="preserve"> standards of the time. </w:t>
      </w:r>
      <w:r w:rsidR="006C00CE" w:rsidRPr="00CB1460">
        <w:rPr>
          <w:rFonts w:asciiTheme="minorHAnsi" w:hAnsiTheme="minorHAnsi"/>
        </w:rPr>
        <w:t>But</w:t>
      </w:r>
      <w:r w:rsidR="006C00CE" w:rsidRPr="00CB1460">
        <w:rPr>
          <w:rFonts w:asciiTheme="minorHAnsi" w:eastAsia="Times New Roman" w:hAnsiTheme="minorHAnsi"/>
        </w:rPr>
        <w:t xml:space="preserve"> Christopher Cox, C</w:t>
      </w:r>
      <w:r w:rsidR="00313296" w:rsidRPr="00CB1460">
        <w:rPr>
          <w:rFonts w:asciiTheme="minorHAnsi" w:eastAsia="Times New Roman" w:hAnsiTheme="minorHAnsi"/>
        </w:rPr>
        <w:t xml:space="preserve">hairman of the U.S. Securities and Exchange Commission (SEC) </w:t>
      </w:r>
      <w:r w:rsidR="00167160" w:rsidRPr="00CB1460">
        <w:rPr>
          <w:rFonts w:asciiTheme="minorHAnsi" w:eastAsia="Times New Roman" w:hAnsiTheme="minorHAnsi"/>
        </w:rPr>
        <w:t>at the time, a</w:t>
      </w:r>
      <w:r w:rsidR="00560476" w:rsidRPr="00CB1460">
        <w:rPr>
          <w:rFonts w:asciiTheme="minorHAnsi" w:eastAsia="Times New Roman" w:hAnsiTheme="minorHAnsi"/>
        </w:rPr>
        <w:t xml:space="preserve"> disagreed</w:t>
      </w:r>
      <w:r w:rsidR="006C00CE" w:rsidRPr="00CB1460">
        <w:rPr>
          <w:rFonts w:asciiTheme="minorHAnsi" w:eastAsia="Times New Roman" w:hAnsiTheme="minorHAnsi"/>
        </w:rPr>
        <w:t xml:space="preserve">. According to Cox, Bear Stearns was well capitalized </w:t>
      </w:r>
      <w:r w:rsidR="0069648F" w:rsidRPr="00CB1460">
        <w:rPr>
          <w:rFonts w:asciiTheme="minorHAnsi" w:eastAsia="Times New Roman" w:hAnsiTheme="minorHAnsi"/>
        </w:rPr>
        <w:t>when it fai</w:t>
      </w:r>
      <w:r w:rsidR="004A4D1F" w:rsidRPr="00CB1460">
        <w:rPr>
          <w:rFonts w:asciiTheme="minorHAnsi" w:eastAsia="Times New Roman" w:hAnsiTheme="minorHAnsi"/>
        </w:rPr>
        <w:t>led, with a capital ratio over 13 percent</w:t>
      </w:r>
      <w:r w:rsidR="00AA0A17" w:rsidRPr="00CB1460">
        <w:rPr>
          <w:rFonts w:asciiTheme="minorHAnsi" w:eastAsia="Times New Roman" w:hAnsiTheme="minorHAnsi"/>
        </w:rPr>
        <w:t xml:space="preserve"> and a debt-equity ratio of 6 to 1</w:t>
      </w:r>
      <w:r w:rsidR="004A4D1F" w:rsidRPr="00CB1460">
        <w:rPr>
          <w:rFonts w:asciiTheme="minorHAnsi" w:eastAsia="Times New Roman" w:hAnsiTheme="minorHAnsi"/>
        </w:rPr>
        <w:t>.</w:t>
      </w:r>
      <w:r w:rsidR="0069648F" w:rsidRPr="00CB1460">
        <w:rPr>
          <w:rFonts w:asciiTheme="minorHAnsi" w:eastAsia="Times New Roman" w:hAnsiTheme="minorHAnsi"/>
        </w:rPr>
        <w:t xml:space="preserve"> </w:t>
      </w:r>
      <w:r w:rsidR="00DA42FB" w:rsidRPr="00CB1460">
        <w:rPr>
          <w:rFonts w:asciiTheme="minorHAnsi" w:eastAsia="Times New Roman" w:hAnsiTheme="minorHAnsi"/>
        </w:rPr>
        <w:t>Indeed, it appear</w:t>
      </w:r>
      <w:r w:rsidR="009E1A27" w:rsidRPr="00CB1460">
        <w:rPr>
          <w:rFonts w:asciiTheme="minorHAnsi" w:eastAsia="Times New Roman" w:hAnsiTheme="minorHAnsi"/>
        </w:rPr>
        <w:t>s that Bear Stearns could</w:t>
      </w:r>
      <w:r w:rsidR="00095E47" w:rsidRPr="00CB1460">
        <w:rPr>
          <w:rFonts w:asciiTheme="minorHAnsi" w:eastAsia="Times New Roman" w:hAnsiTheme="minorHAnsi"/>
        </w:rPr>
        <w:t xml:space="preserve"> have </w:t>
      </w:r>
      <w:r w:rsidR="004A4D1F" w:rsidRPr="00CB1460">
        <w:rPr>
          <w:rFonts w:asciiTheme="minorHAnsi" w:eastAsia="Times New Roman" w:hAnsiTheme="minorHAnsi"/>
        </w:rPr>
        <w:t xml:space="preserve">easily </w:t>
      </w:r>
      <w:r w:rsidR="00095E47" w:rsidRPr="00CB1460">
        <w:rPr>
          <w:rFonts w:asciiTheme="minorHAnsi" w:eastAsia="Times New Roman" w:hAnsiTheme="minorHAnsi"/>
        </w:rPr>
        <w:t>passed</w:t>
      </w:r>
      <w:r w:rsidR="00DA42FB" w:rsidRPr="00CB1460">
        <w:rPr>
          <w:rFonts w:asciiTheme="minorHAnsi" w:eastAsia="Times New Roman" w:hAnsiTheme="minorHAnsi"/>
        </w:rPr>
        <w:t xml:space="preserve"> the current Dodd-Frank stress tests</w:t>
      </w:r>
      <w:r w:rsidR="00095E47" w:rsidRPr="00CB1460">
        <w:rPr>
          <w:rFonts w:asciiTheme="minorHAnsi" w:eastAsia="Times New Roman" w:hAnsiTheme="minorHAnsi"/>
        </w:rPr>
        <w:t xml:space="preserve"> </w:t>
      </w:r>
      <w:r w:rsidR="007A72BB" w:rsidRPr="00CB1460">
        <w:rPr>
          <w:rFonts w:asciiTheme="minorHAnsi" w:eastAsia="Times New Roman" w:hAnsiTheme="minorHAnsi"/>
        </w:rPr>
        <w:t xml:space="preserve">immediately prior to </w:t>
      </w:r>
      <w:r w:rsidR="00364366" w:rsidRPr="00CB1460">
        <w:rPr>
          <w:rFonts w:asciiTheme="minorHAnsi" w:eastAsia="Times New Roman" w:hAnsiTheme="minorHAnsi"/>
        </w:rPr>
        <w:t>its demise</w:t>
      </w:r>
      <w:r w:rsidR="00DA42FB" w:rsidRPr="00CB1460">
        <w:rPr>
          <w:rFonts w:asciiTheme="minorHAnsi" w:eastAsia="Times New Roman" w:hAnsiTheme="minorHAnsi"/>
        </w:rPr>
        <w:t>.</w:t>
      </w:r>
      <w:r w:rsidR="00313296" w:rsidRPr="00CB1460">
        <w:rPr>
          <w:rStyle w:val="FootnoteReference"/>
          <w:rFonts w:asciiTheme="minorHAnsi" w:eastAsia="Times New Roman" w:hAnsiTheme="minorHAnsi"/>
        </w:rPr>
        <w:footnoteReference w:id="24"/>
      </w:r>
      <w:r w:rsidR="004A4D1F" w:rsidRPr="00CB1460">
        <w:rPr>
          <w:rFonts w:asciiTheme="minorHAnsi" w:eastAsia="Times New Roman" w:hAnsiTheme="minorHAnsi"/>
        </w:rPr>
        <w:t xml:space="preserve">  </w:t>
      </w:r>
      <w:r w:rsidR="000E683A" w:rsidRPr="00CB1460">
        <w:rPr>
          <w:rFonts w:asciiTheme="minorHAnsi" w:eastAsia="Times New Roman" w:hAnsiTheme="minorHAnsi"/>
        </w:rPr>
        <w:t>Consider this statement from Chairman Cox.</w:t>
      </w:r>
    </w:p>
    <w:p w14:paraId="1EBED780" w14:textId="77777777" w:rsidR="00313296" w:rsidRPr="00CB1460" w:rsidRDefault="00313296" w:rsidP="00313296">
      <w:pPr>
        <w:jc w:val="both"/>
        <w:rPr>
          <w:rFonts w:asciiTheme="minorHAnsi" w:eastAsia="Times New Roman" w:hAnsiTheme="minorHAnsi"/>
        </w:rPr>
      </w:pPr>
    </w:p>
    <w:p w14:paraId="1A5E02F9" w14:textId="5542ED97" w:rsidR="00313296" w:rsidRPr="00CB1460" w:rsidRDefault="00313296" w:rsidP="00313296">
      <w:pPr>
        <w:ind w:left="288" w:right="288"/>
        <w:jc w:val="both"/>
        <w:rPr>
          <w:rFonts w:asciiTheme="minorHAnsi" w:eastAsia="Times New Roman" w:hAnsiTheme="minorHAnsi"/>
          <w:i/>
        </w:rPr>
      </w:pPr>
      <w:r w:rsidRPr="00CB1460">
        <w:rPr>
          <w:rFonts w:asciiTheme="minorHAnsi" w:eastAsia="Times New Roman" w:hAnsiTheme="minorHAnsi"/>
          <w:i/>
        </w:rPr>
        <w:t>The fate of Bear Stearns was the result of a lack of confidence, not a lack of capital. When the tumult began last week, and at all times until its agreement to be acquired by JP Morgan Chase during the weekend, the firm had a capital cushion well above what is required to meet supervisory standards calculated using the Basel II standard.</w:t>
      </w:r>
      <w:r w:rsidR="0004397C" w:rsidRPr="00CB1460">
        <w:rPr>
          <w:rStyle w:val="FootnoteReference"/>
          <w:rFonts w:asciiTheme="minorHAnsi" w:eastAsia="Times New Roman" w:hAnsiTheme="minorHAnsi"/>
        </w:rPr>
        <w:footnoteReference w:id="25"/>
      </w:r>
    </w:p>
    <w:p w14:paraId="23A4CA26" w14:textId="77777777" w:rsidR="00313296" w:rsidRPr="00CB1460" w:rsidRDefault="00313296" w:rsidP="00313296">
      <w:pPr>
        <w:jc w:val="both"/>
        <w:rPr>
          <w:rFonts w:asciiTheme="minorHAnsi" w:eastAsia="Times New Roman" w:hAnsiTheme="minorHAnsi"/>
          <w:color w:val="000000"/>
        </w:rPr>
      </w:pPr>
    </w:p>
    <w:p w14:paraId="03EBD66C" w14:textId="224D3839" w:rsidR="00313296" w:rsidRPr="00CB1460" w:rsidRDefault="008348D5" w:rsidP="00313296">
      <w:pPr>
        <w:jc w:val="both"/>
        <w:rPr>
          <w:rFonts w:asciiTheme="minorHAnsi" w:eastAsia="Times New Roman" w:hAnsiTheme="minorHAnsi"/>
          <w:color w:val="000000"/>
        </w:rPr>
      </w:pPr>
      <w:r w:rsidRPr="00CB1460">
        <w:rPr>
          <w:rFonts w:asciiTheme="minorHAnsi" w:eastAsia="Times New Roman" w:hAnsiTheme="minorHAnsi"/>
          <w:color w:val="000000"/>
        </w:rPr>
        <w:t xml:space="preserve">The same appears, </w:t>
      </w:r>
      <w:r w:rsidR="00C840DE" w:rsidRPr="00CB1460">
        <w:rPr>
          <w:rFonts w:asciiTheme="minorHAnsi" w:eastAsia="Times New Roman" w:hAnsiTheme="minorHAnsi"/>
          <w:color w:val="000000"/>
        </w:rPr>
        <w:t xml:space="preserve">on careful reading of </w:t>
      </w:r>
      <w:r w:rsidR="00B87F69" w:rsidRPr="00CB1460">
        <w:rPr>
          <w:rFonts w:asciiTheme="minorHAnsi" w:eastAsia="Times New Roman" w:hAnsiTheme="minorHAnsi"/>
          <w:color w:val="000000"/>
        </w:rPr>
        <w:t>SEC Chairman, Mary Schapiro’s, 2010 testimony to the House Financial Services Committee</w:t>
      </w:r>
      <w:r w:rsidRPr="00CB1460">
        <w:rPr>
          <w:rFonts w:asciiTheme="minorHAnsi" w:eastAsia="Times New Roman" w:hAnsiTheme="minorHAnsi"/>
          <w:color w:val="000000"/>
        </w:rPr>
        <w:t>, to have been true of Lehman Brothers</w:t>
      </w:r>
      <w:r w:rsidR="00B87F69" w:rsidRPr="00CB1460">
        <w:rPr>
          <w:rFonts w:asciiTheme="minorHAnsi" w:eastAsia="Times New Roman" w:hAnsiTheme="minorHAnsi"/>
          <w:color w:val="000000"/>
        </w:rPr>
        <w:t>.</w:t>
      </w:r>
      <w:r w:rsidR="00C840DE" w:rsidRPr="00CB1460">
        <w:rPr>
          <w:rFonts w:asciiTheme="minorHAnsi" w:eastAsia="Times New Roman" w:hAnsiTheme="minorHAnsi"/>
          <w:color w:val="000000"/>
        </w:rPr>
        <w:t xml:space="preserve"> That testimony includes this statement. </w:t>
      </w:r>
    </w:p>
    <w:p w14:paraId="6BAD2739" w14:textId="77777777" w:rsidR="00313296" w:rsidRPr="00CB1460" w:rsidRDefault="00313296" w:rsidP="00554E0E">
      <w:pPr>
        <w:jc w:val="both"/>
        <w:rPr>
          <w:rFonts w:asciiTheme="minorHAnsi" w:hAnsiTheme="minorHAnsi"/>
        </w:rPr>
      </w:pPr>
    </w:p>
    <w:p w14:paraId="07C5EA6C" w14:textId="070A61CE" w:rsidR="00E554C7" w:rsidRPr="00CB1460" w:rsidRDefault="00E554C7" w:rsidP="00B87F69">
      <w:pPr>
        <w:ind w:left="288" w:right="288"/>
        <w:jc w:val="both"/>
        <w:rPr>
          <w:rFonts w:asciiTheme="minorHAnsi" w:eastAsia="Times New Roman" w:hAnsiTheme="minorHAnsi"/>
          <w:i/>
        </w:rPr>
      </w:pPr>
      <w:r w:rsidRPr="00CB1460">
        <w:rPr>
          <w:rFonts w:asciiTheme="minorHAnsi" w:eastAsia="Times New Roman" w:hAnsiTheme="minorHAnsi"/>
          <w:i/>
          <w:color w:val="454545"/>
          <w:shd w:val="clear" w:color="auto" w:fill="FFFFFF"/>
        </w:rPr>
        <w:t>The immediate cause of Lehman's bankruptcy filing on September 15, 2008 stemmed from a loss of confidence in the firm's continued viability resulting from concerns regarding its significant holdings of illiquid assets and questions regarding the valuation of those assets. The loss of confidence resulted in counterparties and clearing entities demanding increasing amounts of collateral and margin, such that eventually Lehman was unable to obtain routine financing from certain of its lenders and counterparties.</w:t>
      </w:r>
      <w:r w:rsidR="0004397C" w:rsidRPr="00CB1460">
        <w:rPr>
          <w:rStyle w:val="FootnoteReference"/>
          <w:rFonts w:asciiTheme="minorHAnsi" w:eastAsia="Times New Roman" w:hAnsiTheme="minorHAnsi"/>
          <w:color w:val="000000"/>
        </w:rPr>
        <w:footnoteReference w:id="26"/>
      </w:r>
    </w:p>
    <w:p w14:paraId="6A0679B8" w14:textId="77777777" w:rsidR="00202824" w:rsidRPr="00CB1460" w:rsidRDefault="00202824" w:rsidP="00554E0E">
      <w:pPr>
        <w:jc w:val="both"/>
        <w:rPr>
          <w:rFonts w:asciiTheme="minorHAnsi" w:hAnsiTheme="minorHAnsi"/>
        </w:rPr>
      </w:pPr>
    </w:p>
    <w:p w14:paraId="58833BA5" w14:textId="6D6A6563" w:rsidR="001D09ED" w:rsidRPr="00CB1460" w:rsidRDefault="00C840DE" w:rsidP="00554E0E">
      <w:pPr>
        <w:jc w:val="both"/>
        <w:rPr>
          <w:rFonts w:asciiTheme="minorHAnsi" w:hAnsiTheme="minorHAnsi"/>
        </w:rPr>
      </w:pPr>
      <w:r w:rsidRPr="00CB1460">
        <w:rPr>
          <w:rFonts w:asciiTheme="minorHAnsi" w:hAnsiTheme="minorHAnsi"/>
        </w:rPr>
        <w:t>There are, of course, different leverage/capital ratio measures. Moreover, the</w:t>
      </w:r>
      <w:r w:rsidR="00703AFA" w:rsidRPr="00CB1460">
        <w:rPr>
          <w:rFonts w:asciiTheme="minorHAnsi" w:hAnsiTheme="minorHAnsi"/>
        </w:rPr>
        <w:t>se</w:t>
      </w:r>
      <w:r w:rsidRPr="00CB1460">
        <w:rPr>
          <w:rFonts w:asciiTheme="minorHAnsi" w:hAnsiTheme="minorHAnsi"/>
        </w:rPr>
        <w:t xml:space="preserve"> measures </w:t>
      </w:r>
      <w:r w:rsidR="00703AFA" w:rsidRPr="00CB1460">
        <w:rPr>
          <w:rFonts w:asciiTheme="minorHAnsi" w:hAnsiTheme="minorHAnsi"/>
        </w:rPr>
        <w:t xml:space="preserve">can </w:t>
      </w:r>
      <w:r w:rsidR="00305260" w:rsidRPr="00CB1460">
        <w:rPr>
          <w:rFonts w:asciiTheme="minorHAnsi" w:hAnsiTheme="minorHAnsi"/>
        </w:rPr>
        <w:t xml:space="preserve">be manipulated </w:t>
      </w:r>
      <w:r w:rsidRPr="00CB1460">
        <w:rPr>
          <w:rFonts w:asciiTheme="minorHAnsi" w:hAnsiTheme="minorHAnsi"/>
        </w:rPr>
        <w:t xml:space="preserve">by banks’ </w:t>
      </w:r>
      <w:r w:rsidR="00703AFA" w:rsidRPr="00CB1460">
        <w:rPr>
          <w:rFonts w:asciiTheme="minorHAnsi" w:hAnsiTheme="minorHAnsi"/>
        </w:rPr>
        <w:t xml:space="preserve">accounting </w:t>
      </w:r>
      <w:r w:rsidR="00305260" w:rsidRPr="00CB1460">
        <w:rPr>
          <w:rFonts w:asciiTheme="minorHAnsi" w:hAnsiTheme="minorHAnsi"/>
        </w:rPr>
        <w:t xml:space="preserve">practices </w:t>
      </w:r>
      <w:r w:rsidR="00703AFA" w:rsidRPr="00CB1460">
        <w:rPr>
          <w:rFonts w:asciiTheme="minorHAnsi" w:hAnsiTheme="minorHAnsi"/>
        </w:rPr>
        <w:t xml:space="preserve">and risk weighting </w:t>
      </w:r>
      <w:r w:rsidRPr="00CB1460">
        <w:rPr>
          <w:rFonts w:asciiTheme="minorHAnsi" w:hAnsiTheme="minorHAnsi"/>
        </w:rPr>
        <w:t>decisions.</w:t>
      </w:r>
      <w:r w:rsidR="00543C7E" w:rsidRPr="00CB1460">
        <w:rPr>
          <w:rStyle w:val="FootnoteReference"/>
          <w:rFonts w:asciiTheme="minorHAnsi" w:hAnsiTheme="minorHAnsi"/>
        </w:rPr>
        <w:footnoteReference w:id="27"/>
      </w:r>
      <w:r w:rsidRPr="00CB1460">
        <w:rPr>
          <w:rFonts w:asciiTheme="minorHAnsi" w:hAnsiTheme="minorHAnsi"/>
        </w:rPr>
        <w:t xml:space="preserve"> </w:t>
      </w:r>
      <w:r w:rsidR="00956BFC" w:rsidRPr="00CB1460">
        <w:rPr>
          <w:rFonts w:asciiTheme="minorHAnsi" w:hAnsiTheme="minorHAnsi"/>
        </w:rPr>
        <w:t xml:space="preserve">The complete disconnect between the Wiki entry and the statement of Chairman Cox may reflect a difference in facts, a difference in the capital ratio measure, </w:t>
      </w:r>
      <w:r w:rsidR="00547977">
        <w:rPr>
          <w:rFonts w:asciiTheme="minorHAnsi" w:hAnsiTheme="minorHAnsi"/>
        </w:rPr>
        <w:t xml:space="preserve">a decision to consider gross, not net debt, </w:t>
      </w:r>
      <w:r w:rsidR="00956BFC" w:rsidRPr="00CB1460">
        <w:rPr>
          <w:rFonts w:asciiTheme="minorHAnsi" w:hAnsiTheme="minorHAnsi"/>
        </w:rPr>
        <w:t xml:space="preserve">or a difference </w:t>
      </w:r>
      <w:r w:rsidR="002C2AC2" w:rsidRPr="00CB1460">
        <w:rPr>
          <w:rFonts w:asciiTheme="minorHAnsi" w:hAnsiTheme="minorHAnsi"/>
        </w:rPr>
        <w:t xml:space="preserve">in risk weighting of assets. </w:t>
      </w:r>
      <w:r w:rsidR="002D259E" w:rsidRPr="00CB1460">
        <w:rPr>
          <w:rFonts w:asciiTheme="minorHAnsi" w:hAnsiTheme="minorHAnsi"/>
        </w:rPr>
        <w:t>The important</w:t>
      </w:r>
      <w:r w:rsidR="008832C8" w:rsidRPr="00CB1460">
        <w:rPr>
          <w:rFonts w:asciiTheme="minorHAnsi" w:hAnsiTheme="minorHAnsi"/>
        </w:rPr>
        <w:t xml:space="preserve"> point, though, is the disagreement. </w:t>
      </w:r>
      <w:r w:rsidR="00D60FE8" w:rsidRPr="00CB1460">
        <w:rPr>
          <w:rFonts w:asciiTheme="minorHAnsi" w:hAnsiTheme="minorHAnsi"/>
        </w:rPr>
        <w:t>The Wiki entry</w:t>
      </w:r>
      <w:r w:rsidR="00712383" w:rsidRPr="00CB1460">
        <w:rPr>
          <w:rFonts w:asciiTheme="minorHAnsi" w:hAnsiTheme="minorHAnsi"/>
        </w:rPr>
        <w:t xml:space="preserve"> as well as Cohan’s article, </w:t>
      </w:r>
      <w:r w:rsidR="00C81D81" w:rsidRPr="00CB1460">
        <w:rPr>
          <w:rFonts w:asciiTheme="minorHAnsi" w:hAnsiTheme="minorHAnsi"/>
        </w:rPr>
        <w:t xml:space="preserve">reference </w:t>
      </w:r>
      <w:r w:rsidR="00D60FE8" w:rsidRPr="00CB1460">
        <w:rPr>
          <w:rFonts w:asciiTheme="minorHAnsi" w:hAnsiTheme="minorHAnsi"/>
        </w:rPr>
        <w:t>debt-equity ratio</w:t>
      </w:r>
      <w:r w:rsidR="00C81D81" w:rsidRPr="00CB1460">
        <w:rPr>
          <w:rFonts w:asciiTheme="minorHAnsi" w:hAnsiTheme="minorHAnsi"/>
        </w:rPr>
        <w:t>s</w:t>
      </w:r>
      <w:r w:rsidR="00D60FE8" w:rsidRPr="00CB1460">
        <w:rPr>
          <w:rFonts w:asciiTheme="minorHAnsi" w:hAnsiTheme="minorHAnsi"/>
        </w:rPr>
        <w:t xml:space="preserve"> </w:t>
      </w:r>
      <w:r w:rsidR="00C81D81" w:rsidRPr="00CB1460">
        <w:rPr>
          <w:rFonts w:asciiTheme="minorHAnsi" w:hAnsiTheme="minorHAnsi"/>
        </w:rPr>
        <w:t>that are 5 to</w:t>
      </w:r>
      <w:r w:rsidR="00D60FE8" w:rsidRPr="00CB1460">
        <w:rPr>
          <w:rFonts w:asciiTheme="minorHAnsi" w:hAnsiTheme="minorHAnsi"/>
        </w:rPr>
        <w:t xml:space="preserve"> 6 times the ratio reported by Chairman Cox. This enormous discrepancy </w:t>
      </w:r>
      <w:r w:rsidR="00394414" w:rsidRPr="00CB1460">
        <w:rPr>
          <w:rFonts w:asciiTheme="minorHAnsi" w:hAnsiTheme="minorHAnsi"/>
        </w:rPr>
        <w:t xml:space="preserve">between the SEC Chairman, who presumably </w:t>
      </w:r>
      <w:r w:rsidR="00937D4C" w:rsidRPr="00CB1460">
        <w:rPr>
          <w:rFonts w:asciiTheme="minorHAnsi" w:hAnsiTheme="minorHAnsi"/>
        </w:rPr>
        <w:t xml:space="preserve">knew </w:t>
      </w:r>
      <w:r w:rsidR="00394414" w:rsidRPr="00CB1460">
        <w:rPr>
          <w:rFonts w:asciiTheme="minorHAnsi" w:hAnsiTheme="minorHAnsi"/>
        </w:rPr>
        <w:t>how best to measure lever</w:t>
      </w:r>
      <w:r w:rsidR="00937D4C" w:rsidRPr="00CB1460">
        <w:rPr>
          <w:rFonts w:asciiTheme="minorHAnsi" w:hAnsiTheme="minorHAnsi"/>
        </w:rPr>
        <w:t>age</w:t>
      </w:r>
      <w:r w:rsidR="001C207A" w:rsidRPr="00CB1460">
        <w:rPr>
          <w:rFonts w:asciiTheme="minorHAnsi" w:hAnsiTheme="minorHAnsi"/>
        </w:rPr>
        <w:t>,</w:t>
      </w:r>
      <w:r w:rsidR="00937D4C" w:rsidRPr="00CB1460">
        <w:rPr>
          <w:rFonts w:asciiTheme="minorHAnsi" w:hAnsiTheme="minorHAnsi"/>
        </w:rPr>
        <w:t xml:space="preserve"> and other </w:t>
      </w:r>
      <w:r w:rsidR="003706F6" w:rsidRPr="00CB1460">
        <w:rPr>
          <w:rFonts w:asciiTheme="minorHAnsi" w:hAnsiTheme="minorHAnsi"/>
        </w:rPr>
        <w:t>observers</w:t>
      </w:r>
      <w:r w:rsidR="00937D4C" w:rsidRPr="00CB1460">
        <w:rPr>
          <w:rFonts w:asciiTheme="minorHAnsi" w:hAnsiTheme="minorHAnsi"/>
        </w:rPr>
        <w:t xml:space="preserve"> tells us that,</w:t>
      </w:r>
      <w:r w:rsidR="00712383" w:rsidRPr="00CB1460">
        <w:rPr>
          <w:rFonts w:asciiTheme="minorHAnsi" w:hAnsiTheme="minorHAnsi"/>
        </w:rPr>
        <w:t xml:space="preserve"> even in hindsight,</w:t>
      </w:r>
      <w:r w:rsidR="003706F6" w:rsidRPr="00CB1460">
        <w:rPr>
          <w:rFonts w:asciiTheme="minorHAnsi" w:hAnsiTheme="minorHAnsi"/>
        </w:rPr>
        <w:t xml:space="preserve"> </w:t>
      </w:r>
      <w:r w:rsidR="00937D4C" w:rsidRPr="00CB1460">
        <w:rPr>
          <w:rFonts w:asciiTheme="minorHAnsi" w:hAnsiTheme="minorHAnsi"/>
        </w:rPr>
        <w:t xml:space="preserve">different people can reach uniformed and incorrect </w:t>
      </w:r>
      <w:r w:rsidR="003706F6" w:rsidRPr="00CB1460">
        <w:rPr>
          <w:rFonts w:asciiTheme="minorHAnsi" w:hAnsiTheme="minorHAnsi"/>
        </w:rPr>
        <w:t xml:space="preserve">conclusions about </w:t>
      </w:r>
      <w:r w:rsidR="005F3FB1" w:rsidRPr="00CB1460">
        <w:rPr>
          <w:rFonts w:asciiTheme="minorHAnsi" w:hAnsiTheme="minorHAnsi"/>
        </w:rPr>
        <w:t xml:space="preserve">a bank’s ability to withstand a run. </w:t>
      </w:r>
    </w:p>
    <w:p w14:paraId="742CD96A" w14:textId="77777777" w:rsidR="001D09ED" w:rsidRPr="00CB1460" w:rsidRDefault="001D09ED" w:rsidP="00554E0E">
      <w:pPr>
        <w:jc w:val="both"/>
        <w:rPr>
          <w:rFonts w:asciiTheme="minorHAnsi" w:hAnsiTheme="minorHAnsi"/>
        </w:rPr>
      </w:pPr>
    </w:p>
    <w:p w14:paraId="3472A2F0" w14:textId="4B8F15AC" w:rsidR="009F5199" w:rsidRPr="00CB1460" w:rsidRDefault="002C0859" w:rsidP="00554E0E">
      <w:pPr>
        <w:jc w:val="both"/>
        <w:rPr>
          <w:rFonts w:asciiTheme="minorHAnsi" w:hAnsiTheme="minorHAnsi"/>
        </w:rPr>
      </w:pPr>
      <w:r w:rsidRPr="00CB1460">
        <w:rPr>
          <w:rFonts w:asciiTheme="minorHAnsi" w:hAnsiTheme="minorHAnsi"/>
        </w:rPr>
        <w:t>There are</w:t>
      </w:r>
      <w:r w:rsidR="001D09ED" w:rsidRPr="00CB1460">
        <w:rPr>
          <w:rFonts w:asciiTheme="minorHAnsi" w:hAnsiTheme="minorHAnsi"/>
        </w:rPr>
        <w:t xml:space="preserve"> even more important message</w:t>
      </w:r>
      <w:r w:rsidR="0066292F" w:rsidRPr="00CB1460">
        <w:rPr>
          <w:rFonts w:asciiTheme="minorHAnsi" w:hAnsiTheme="minorHAnsi"/>
        </w:rPr>
        <w:t>s</w:t>
      </w:r>
      <w:r w:rsidR="001D09ED" w:rsidRPr="00CB1460">
        <w:rPr>
          <w:rFonts w:asciiTheme="minorHAnsi" w:hAnsiTheme="minorHAnsi"/>
        </w:rPr>
        <w:t xml:space="preserve"> in </w:t>
      </w:r>
      <w:r w:rsidR="00D8766A" w:rsidRPr="00CB1460">
        <w:rPr>
          <w:rFonts w:asciiTheme="minorHAnsi" w:hAnsiTheme="minorHAnsi"/>
        </w:rPr>
        <w:t>these</w:t>
      </w:r>
      <w:r w:rsidR="009F5199" w:rsidRPr="00CB1460">
        <w:rPr>
          <w:rFonts w:asciiTheme="minorHAnsi" w:hAnsiTheme="minorHAnsi"/>
        </w:rPr>
        <w:t xml:space="preserve"> additional statement</w:t>
      </w:r>
      <w:r w:rsidR="00D8766A" w:rsidRPr="00CB1460">
        <w:rPr>
          <w:rFonts w:asciiTheme="minorHAnsi" w:hAnsiTheme="minorHAnsi"/>
        </w:rPr>
        <w:t>s</w:t>
      </w:r>
      <w:r w:rsidR="009F5199" w:rsidRPr="00CB1460">
        <w:rPr>
          <w:rFonts w:asciiTheme="minorHAnsi" w:hAnsiTheme="minorHAnsi"/>
        </w:rPr>
        <w:t xml:space="preserve"> by </w:t>
      </w:r>
      <w:r w:rsidR="001D09ED" w:rsidRPr="00CB1460">
        <w:rPr>
          <w:rFonts w:asciiTheme="minorHAnsi" w:hAnsiTheme="minorHAnsi"/>
        </w:rPr>
        <w:t>Chairman Cox</w:t>
      </w:r>
      <w:r w:rsidR="009F5199" w:rsidRPr="00CB1460">
        <w:rPr>
          <w:rFonts w:asciiTheme="minorHAnsi" w:hAnsiTheme="minorHAnsi"/>
        </w:rPr>
        <w:t>.</w:t>
      </w:r>
      <w:r w:rsidR="009F5199" w:rsidRPr="00CB1460">
        <w:rPr>
          <w:rStyle w:val="FootnoteReference"/>
          <w:rFonts w:asciiTheme="minorHAnsi" w:hAnsiTheme="minorHAnsi"/>
        </w:rPr>
        <w:footnoteReference w:id="28"/>
      </w:r>
    </w:p>
    <w:p w14:paraId="68625D9A" w14:textId="77777777" w:rsidR="009F5199" w:rsidRPr="00CB1460" w:rsidRDefault="009F5199" w:rsidP="00554E0E">
      <w:pPr>
        <w:jc w:val="both"/>
        <w:rPr>
          <w:rFonts w:asciiTheme="minorHAnsi" w:hAnsiTheme="minorHAnsi"/>
        </w:rPr>
      </w:pPr>
    </w:p>
    <w:p w14:paraId="6279A27D" w14:textId="1BBDA147" w:rsidR="00D8766A" w:rsidRPr="00CB1460" w:rsidRDefault="009F5199" w:rsidP="00D8766A">
      <w:pPr>
        <w:ind w:left="288" w:right="288"/>
        <w:jc w:val="both"/>
        <w:rPr>
          <w:rFonts w:asciiTheme="minorHAnsi" w:eastAsia="Times New Roman" w:hAnsiTheme="minorHAnsi"/>
          <w:i/>
        </w:rPr>
      </w:pPr>
      <w:r w:rsidRPr="00CB1460">
        <w:rPr>
          <w:rFonts w:asciiTheme="minorHAnsi" w:eastAsia="Times New Roman" w:hAnsiTheme="minorHAnsi"/>
          <w:i/>
          <w:color w:val="454545"/>
          <w:shd w:val="clear" w:color="auto" w:fill="FFFFFF"/>
        </w:rPr>
        <w:t>… the fate of Bear Stearns was the result of a lack of confidence, not a lack of capital. When the tumult began last week, and at all times until its agreement to be acquired by JP Morgan Chase during the weekend, the firm had a capital cushion well above what is required to meet supervisory standards calculated using the Basel II standard.</w:t>
      </w:r>
      <w:r w:rsidR="00E14A13" w:rsidRPr="00CB1460">
        <w:rPr>
          <w:rFonts w:asciiTheme="minorHAnsi" w:eastAsia="Times New Roman" w:hAnsiTheme="minorHAnsi"/>
          <w:i/>
          <w:color w:val="454545"/>
          <w:shd w:val="clear" w:color="auto" w:fill="FFFFFF"/>
        </w:rPr>
        <w:t xml:space="preserve"> </w:t>
      </w:r>
      <w:r w:rsidR="00D8766A" w:rsidRPr="00CB1460">
        <w:rPr>
          <w:rFonts w:asciiTheme="minorHAnsi" w:eastAsia="Times New Roman" w:hAnsiTheme="minorHAnsi"/>
          <w:i/>
          <w:color w:val="454545"/>
          <w:shd w:val="clear" w:color="auto" w:fill="FFFFFF"/>
        </w:rPr>
        <w:t>… The market rumors about Bear Stearns liquidity problems became self-fulfilling. </w:t>
      </w:r>
    </w:p>
    <w:p w14:paraId="031B2F48" w14:textId="2C5B40D8" w:rsidR="001D09ED" w:rsidRPr="00CB1460" w:rsidRDefault="001D09ED" w:rsidP="00554E0E">
      <w:pPr>
        <w:jc w:val="both"/>
        <w:rPr>
          <w:rFonts w:asciiTheme="minorHAnsi" w:hAnsiTheme="minorHAnsi"/>
        </w:rPr>
      </w:pPr>
    </w:p>
    <w:p w14:paraId="3F9D2306" w14:textId="020D9C52" w:rsidR="008D0C66" w:rsidRDefault="00CA231B" w:rsidP="008D0C66">
      <w:pPr>
        <w:jc w:val="both"/>
        <w:rPr>
          <w:rFonts w:asciiTheme="minorHAnsi" w:hAnsiTheme="minorHAnsi"/>
        </w:rPr>
      </w:pPr>
      <w:r w:rsidRPr="00CB1460">
        <w:rPr>
          <w:rFonts w:asciiTheme="minorHAnsi" w:hAnsiTheme="minorHAnsi"/>
        </w:rPr>
        <w:t xml:space="preserve">Cox is saying that Bear Stearns had very little </w:t>
      </w:r>
      <w:r w:rsidR="00497C38" w:rsidRPr="00CB1460">
        <w:rPr>
          <w:rFonts w:asciiTheme="minorHAnsi" w:hAnsiTheme="minorHAnsi"/>
        </w:rPr>
        <w:t>d</w:t>
      </w:r>
      <w:r w:rsidRPr="00CB1460">
        <w:rPr>
          <w:rFonts w:asciiTheme="minorHAnsi" w:hAnsiTheme="minorHAnsi"/>
        </w:rPr>
        <w:t xml:space="preserve">ebt, but that its actual capital ratio didn’t matter. </w:t>
      </w:r>
      <w:r w:rsidR="00E124B6" w:rsidRPr="00CB1460">
        <w:rPr>
          <w:rFonts w:asciiTheme="minorHAnsi" w:hAnsiTheme="minorHAnsi"/>
        </w:rPr>
        <w:t>Creditors, past</w:t>
      </w:r>
      <w:r w:rsidR="00D8766A" w:rsidRPr="00CB1460">
        <w:rPr>
          <w:rFonts w:asciiTheme="minorHAnsi" w:hAnsiTheme="minorHAnsi"/>
        </w:rPr>
        <w:t xml:space="preserve"> and prospective,</w:t>
      </w:r>
      <w:r w:rsidR="0066292F" w:rsidRPr="00CB1460">
        <w:rPr>
          <w:rFonts w:asciiTheme="minorHAnsi" w:hAnsiTheme="minorHAnsi"/>
        </w:rPr>
        <w:t xml:space="preserve"> came to believe, based on rumors, </w:t>
      </w:r>
      <w:r w:rsidR="00D8766A" w:rsidRPr="00CB1460">
        <w:rPr>
          <w:rFonts w:asciiTheme="minorHAnsi" w:hAnsiTheme="minorHAnsi"/>
        </w:rPr>
        <w:t xml:space="preserve">that </w:t>
      </w:r>
      <w:r w:rsidR="00597426" w:rsidRPr="00CB1460">
        <w:rPr>
          <w:rFonts w:asciiTheme="minorHAnsi" w:hAnsiTheme="minorHAnsi"/>
        </w:rPr>
        <w:t>other credito</w:t>
      </w:r>
      <w:r w:rsidR="00671001" w:rsidRPr="00CB1460">
        <w:rPr>
          <w:rFonts w:asciiTheme="minorHAnsi" w:hAnsiTheme="minorHAnsi"/>
        </w:rPr>
        <w:t>rs were pulling the plug</w:t>
      </w:r>
      <w:r w:rsidR="00597426" w:rsidRPr="00CB1460">
        <w:rPr>
          <w:rFonts w:asciiTheme="minorHAnsi" w:hAnsiTheme="minorHAnsi"/>
        </w:rPr>
        <w:t xml:space="preserve">. This led them to do the same. Since it takes literally only one dollar of overdue debt repayment to render a bank legally bankrupt, this dynamic can sink any bank, no matter its capital ratio, at any time. </w:t>
      </w:r>
      <w:r w:rsidR="00671001" w:rsidRPr="00CB1460">
        <w:rPr>
          <w:rFonts w:asciiTheme="minorHAnsi" w:hAnsiTheme="minorHAnsi"/>
        </w:rPr>
        <w:t xml:space="preserve">Thus, </w:t>
      </w:r>
      <w:r w:rsidR="00597426" w:rsidRPr="00CB1460">
        <w:rPr>
          <w:rFonts w:asciiTheme="minorHAnsi" w:hAnsiTheme="minorHAnsi"/>
        </w:rPr>
        <w:t>leveraged banks</w:t>
      </w:r>
      <w:r w:rsidR="008243F3" w:rsidRPr="00CB1460">
        <w:rPr>
          <w:rFonts w:asciiTheme="minorHAnsi" w:hAnsiTheme="minorHAnsi"/>
        </w:rPr>
        <w:t xml:space="preserve"> </w:t>
      </w:r>
      <w:r w:rsidR="00597426" w:rsidRPr="00CB1460">
        <w:rPr>
          <w:rFonts w:asciiTheme="minorHAnsi" w:hAnsiTheme="minorHAnsi"/>
        </w:rPr>
        <w:t xml:space="preserve">are </w:t>
      </w:r>
      <w:r w:rsidR="009753EB" w:rsidRPr="00CB1460">
        <w:rPr>
          <w:rFonts w:asciiTheme="minorHAnsi" w:hAnsiTheme="minorHAnsi"/>
        </w:rPr>
        <w:t>unsafe</w:t>
      </w:r>
      <w:r w:rsidR="008243F3" w:rsidRPr="00CB1460">
        <w:rPr>
          <w:rFonts w:asciiTheme="minorHAnsi" w:hAnsiTheme="minorHAnsi"/>
        </w:rPr>
        <w:t xml:space="preserve"> at any speed, i.e., they can </w:t>
      </w:r>
      <w:r w:rsidR="00671001" w:rsidRPr="00CB1460">
        <w:rPr>
          <w:rFonts w:asciiTheme="minorHAnsi" w:hAnsiTheme="minorHAnsi"/>
        </w:rPr>
        <w:t xml:space="preserve">and do </w:t>
      </w:r>
      <w:r w:rsidR="008243F3" w:rsidRPr="00CB1460">
        <w:rPr>
          <w:rFonts w:asciiTheme="minorHAnsi" w:hAnsiTheme="minorHAnsi"/>
        </w:rPr>
        <w:t>fail regardless of their true leverage.</w:t>
      </w:r>
      <w:r w:rsidR="002D59E9" w:rsidRPr="00CB1460">
        <w:rPr>
          <w:rFonts w:asciiTheme="minorHAnsi" w:hAnsiTheme="minorHAnsi"/>
        </w:rPr>
        <w:t xml:space="preserve"> </w:t>
      </w:r>
    </w:p>
    <w:p w14:paraId="445291E5" w14:textId="77777777" w:rsidR="00335A4F" w:rsidRDefault="00335A4F" w:rsidP="008D0C66">
      <w:pPr>
        <w:jc w:val="both"/>
        <w:rPr>
          <w:rFonts w:asciiTheme="minorHAnsi" w:hAnsiTheme="minorHAnsi"/>
        </w:rPr>
      </w:pPr>
    </w:p>
    <w:p w14:paraId="46F75F9C" w14:textId="612872E7" w:rsidR="00335A4F" w:rsidRPr="00CB1460" w:rsidRDefault="00AB35B3" w:rsidP="00335A4F">
      <w:pPr>
        <w:jc w:val="both"/>
        <w:rPr>
          <w:rFonts w:asciiTheme="minorHAnsi" w:hAnsiTheme="minorHAnsi"/>
        </w:rPr>
      </w:pPr>
      <w:r>
        <w:rPr>
          <w:rFonts w:asciiTheme="minorHAnsi" w:hAnsiTheme="minorHAnsi"/>
        </w:rPr>
        <w:t xml:space="preserve">Lehman was also well capitalized prior to its demise. It </w:t>
      </w:r>
      <w:r w:rsidR="00335A4F" w:rsidRPr="00CB1460">
        <w:rPr>
          <w:rFonts w:asciiTheme="minorHAnsi" w:hAnsiTheme="minorHAnsi"/>
        </w:rPr>
        <w:t>had tier-1 capital of 11 percent when</w:t>
      </w:r>
      <w:r w:rsidR="00D42953">
        <w:rPr>
          <w:rFonts w:asciiTheme="minorHAnsi" w:hAnsiTheme="minorHAnsi"/>
        </w:rPr>
        <w:t xml:space="preserve"> its creditors pulled the plug.</w:t>
      </w:r>
      <w:r w:rsidR="00F613DA">
        <w:rPr>
          <w:rStyle w:val="FootnoteReference"/>
          <w:rFonts w:asciiTheme="minorHAnsi" w:hAnsiTheme="minorHAnsi"/>
        </w:rPr>
        <w:footnoteReference w:id="29"/>
      </w:r>
      <w:r w:rsidR="00D42953">
        <w:rPr>
          <w:rFonts w:asciiTheme="minorHAnsi" w:hAnsiTheme="minorHAnsi"/>
        </w:rPr>
        <w:t xml:space="preserve"> </w:t>
      </w:r>
      <w:r>
        <w:rPr>
          <w:rFonts w:asciiTheme="minorHAnsi" w:hAnsiTheme="minorHAnsi"/>
        </w:rPr>
        <w:t>An 11 percent capital ratio is close to the current banking system’s tier-1 capital ratio of 12.3 percent, calculated based on the</w:t>
      </w:r>
      <w:r w:rsidR="00335A4F" w:rsidRPr="00CB1460">
        <w:rPr>
          <w:rFonts w:asciiTheme="minorHAnsi" w:hAnsiTheme="minorHAnsi"/>
        </w:rPr>
        <w:t xml:space="preserve"> Federal Reserve’s recent stress tests</w:t>
      </w:r>
      <w:r w:rsidR="00171044">
        <w:rPr>
          <w:rFonts w:asciiTheme="minorHAnsi" w:hAnsiTheme="minorHAnsi"/>
        </w:rPr>
        <w:t>. This i</w:t>
      </w:r>
      <w:r w:rsidR="00335A4F" w:rsidRPr="00CB1460">
        <w:rPr>
          <w:rFonts w:asciiTheme="minorHAnsi" w:hAnsiTheme="minorHAnsi"/>
        </w:rPr>
        <w:t>ndicates</w:t>
      </w:r>
      <w:r w:rsidR="00171044">
        <w:rPr>
          <w:rFonts w:asciiTheme="minorHAnsi" w:hAnsiTheme="minorHAnsi"/>
        </w:rPr>
        <w:t xml:space="preserve"> that today’s</w:t>
      </w:r>
      <w:r w:rsidR="00335A4F" w:rsidRPr="00CB1460">
        <w:rPr>
          <w:rFonts w:asciiTheme="minorHAnsi" w:hAnsiTheme="minorHAnsi"/>
        </w:rPr>
        <w:t xml:space="preserve"> banking system</w:t>
      </w:r>
      <w:r w:rsidR="00171044">
        <w:rPr>
          <w:rFonts w:asciiTheme="minorHAnsi" w:hAnsiTheme="minorHAnsi"/>
        </w:rPr>
        <w:t xml:space="preserve"> </w:t>
      </w:r>
      <w:r w:rsidR="00335A4F" w:rsidRPr="00CB1460">
        <w:rPr>
          <w:rFonts w:asciiTheme="minorHAnsi" w:hAnsiTheme="minorHAnsi"/>
        </w:rPr>
        <w:t xml:space="preserve">is </w:t>
      </w:r>
      <w:r w:rsidR="00A31678">
        <w:rPr>
          <w:rFonts w:asciiTheme="minorHAnsi" w:hAnsiTheme="minorHAnsi"/>
        </w:rPr>
        <w:t>no safer</w:t>
      </w:r>
      <w:r w:rsidR="00335A4F" w:rsidRPr="00CB1460">
        <w:rPr>
          <w:rFonts w:asciiTheme="minorHAnsi" w:hAnsiTheme="minorHAnsi"/>
        </w:rPr>
        <w:t xml:space="preserve"> </w:t>
      </w:r>
      <w:r w:rsidR="00171044">
        <w:rPr>
          <w:rFonts w:asciiTheme="minorHAnsi" w:hAnsiTheme="minorHAnsi"/>
        </w:rPr>
        <w:t>than</w:t>
      </w:r>
      <w:r w:rsidR="00335A4F" w:rsidRPr="00CB1460">
        <w:rPr>
          <w:rFonts w:asciiTheme="minorHAnsi" w:hAnsiTheme="minorHAnsi"/>
        </w:rPr>
        <w:t xml:space="preserve"> </w:t>
      </w:r>
      <w:r w:rsidR="00A31678">
        <w:rPr>
          <w:rFonts w:asciiTheme="minorHAnsi" w:hAnsiTheme="minorHAnsi"/>
        </w:rPr>
        <w:t xml:space="preserve">was </w:t>
      </w:r>
      <w:r w:rsidR="00335A4F" w:rsidRPr="00CB1460">
        <w:rPr>
          <w:rFonts w:asciiTheme="minorHAnsi" w:hAnsiTheme="minorHAnsi"/>
        </w:rPr>
        <w:t>Lehman Brothers</w:t>
      </w:r>
      <w:r w:rsidR="00171044">
        <w:rPr>
          <w:rFonts w:asciiTheme="minorHAnsi" w:hAnsiTheme="minorHAnsi"/>
        </w:rPr>
        <w:t xml:space="preserve"> when it was</w:t>
      </w:r>
      <w:r>
        <w:rPr>
          <w:rFonts w:asciiTheme="minorHAnsi" w:hAnsiTheme="minorHAnsi"/>
        </w:rPr>
        <w:t xml:space="preserve"> driven out of business</w:t>
      </w:r>
      <w:r w:rsidR="00335A4F" w:rsidRPr="00CB1460">
        <w:rPr>
          <w:rFonts w:asciiTheme="minorHAnsi" w:hAnsiTheme="minorHAnsi"/>
        </w:rPr>
        <w:t>.</w:t>
      </w:r>
      <w:r w:rsidR="00335A4F" w:rsidRPr="00CB1460">
        <w:rPr>
          <w:rStyle w:val="FootnoteReference"/>
          <w:rFonts w:asciiTheme="minorHAnsi" w:hAnsiTheme="minorHAnsi"/>
        </w:rPr>
        <w:footnoteReference w:id="30"/>
      </w:r>
      <w:r w:rsidR="00335A4F" w:rsidRPr="00CB1460">
        <w:rPr>
          <w:rFonts w:asciiTheme="minorHAnsi" w:hAnsiTheme="minorHAnsi"/>
        </w:rPr>
        <w:t xml:space="preserve"> </w:t>
      </w:r>
    </w:p>
    <w:p w14:paraId="2419A798" w14:textId="77777777" w:rsidR="009A4E90" w:rsidRPr="00CB1460" w:rsidRDefault="009A4E90" w:rsidP="00554E0E">
      <w:pPr>
        <w:jc w:val="both"/>
        <w:rPr>
          <w:rFonts w:asciiTheme="minorHAnsi" w:hAnsiTheme="minorHAnsi"/>
          <w:b/>
        </w:rPr>
      </w:pPr>
    </w:p>
    <w:p w14:paraId="034CD558" w14:textId="2251CF54" w:rsidR="00680B95" w:rsidRPr="00CB1460" w:rsidRDefault="001B0C7C" w:rsidP="00554E0E">
      <w:pPr>
        <w:jc w:val="both"/>
        <w:rPr>
          <w:rFonts w:asciiTheme="minorHAnsi" w:hAnsiTheme="minorHAnsi"/>
          <w:b/>
        </w:rPr>
      </w:pPr>
      <w:r w:rsidRPr="00CB1460">
        <w:rPr>
          <w:rFonts w:asciiTheme="minorHAnsi" w:hAnsiTheme="minorHAnsi"/>
          <w:b/>
        </w:rPr>
        <w:lastRenderedPageBreak/>
        <w:t>Egregious and Predatory Lending</w:t>
      </w:r>
    </w:p>
    <w:p w14:paraId="3070BB5C" w14:textId="1D75D86A" w:rsidR="00B604A4" w:rsidRPr="00CB1460" w:rsidRDefault="00680B95" w:rsidP="00554E0E">
      <w:pPr>
        <w:jc w:val="both"/>
        <w:rPr>
          <w:rFonts w:asciiTheme="minorHAnsi" w:eastAsia="Times New Roman" w:hAnsiTheme="minorHAnsi"/>
          <w:color w:val="000000"/>
        </w:rPr>
      </w:pPr>
      <w:r w:rsidRPr="00CB1460">
        <w:rPr>
          <w:rFonts w:asciiTheme="minorHAnsi" w:hAnsiTheme="minorHAnsi"/>
        </w:rPr>
        <w:t xml:space="preserve">The FCIC cites “egregious and predatory lending” as another of the causes of the GR. Such lending references </w:t>
      </w:r>
      <w:r w:rsidRPr="00CB1460">
        <w:rPr>
          <w:rFonts w:asciiTheme="minorHAnsi" w:eastAsia="Times New Roman" w:hAnsiTheme="minorHAnsi"/>
          <w:color w:val="000000"/>
        </w:rPr>
        <w:t xml:space="preserve">adjustable-rate mortgages, mortgages with balloon payments, interest-only mortgages, </w:t>
      </w:r>
      <w:r w:rsidR="00202AA8" w:rsidRPr="00CB1460">
        <w:rPr>
          <w:rFonts w:asciiTheme="minorHAnsi" w:eastAsia="Times New Roman" w:hAnsiTheme="minorHAnsi"/>
          <w:color w:val="000000"/>
        </w:rPr>
        <w:t xml:space="preserve">piggy-back, </w:t>
      </w:r>
      <w:r w:rsidRPr="00CB1460">
        <w:rPr>
          <w:rFonts w:asciiTheme="minorHAnsi" w:eastAsia="Times New Roman" w:hAnsiTheme="minorHAnsi"/>
          <w:color w:val="000000"/>
        </w:rPr>
        <w:t xml:space="preserve">and so-called </w:t>
      </w:r>
      <w:r w:rsidR="00202AA8" w:rsidRPr="00CB1460">
        <w:rPr>
          <w:rFonts w:asciiTheme="minorHAnsi" w:eastAsia="Times New Roman" w:hAnsiTheme="minorHAnsi"/>
          <w:color w:val="000000"/>
        </w:rPr>
        <w:t xml:space="preserve">pay-option </w:t>
      </w:r>
      <w:r w:rsidRPr="00CB1460">
        <w:rPr>
          <w:rFonts w:asciiTheme="minorHAnsi" w:eastAsia="Times New Roman" w:hAnsiTheme="minorHAnsi"/>
          <w:color w:val="000000"/>
        </w:rPr>
        <w:t xml:space="preserve">ARM loans. Loans of these type </w:t>
      </w:r>
      <w:r w:rsidR="00396518" w:rsidRPr="00CB1460">
        <w:rPr>
          <w:rFonts w:asciiTheme="minorHAnsi" w:eastAsia="Times New Roman" w:hAnsiTheme="minorHAnsi"/>
          <w:color w:val="000000"/>
        </w:rPr>
        <w:t>were</w:t>
      </w:r>
      <w:r w:rsidR="001A6274" w:rsidRPr="00CB1460">
        <w:rPr>
          <w:rFonts w:asciiTheme="minorHAnsi" w:eastAsia="Times New Roman" w:hAnsiTheme="minorHAnsi"/>
          <w:color w:val="000000"/>
        </w:rPr>
        <w:t xml:space="preserve"> and are</w:t>
      </w:r>
      <w:r w:rsidRPr="00CB1460">
        <w:rPr>
          <w:rFonts w:asciiTheme="minorHAnsi" w:eastAsia="Times New Roman" w:hAnsiTheme="minorHAnsi"/>
          <w:color w:val="000000"/>
        </w:rPr>
        <w:t xml:space="preserve"> subprimes. There is no doubt that many of these loans were made to borrowers who took on too much risk or agreed to pay interest rates that were predatorily high. </w:t>
      </w:r>
      <w:r w:rsidR="003E187C" w:rsidRPr="00CB1460">
        <w:rPr>
          <w:rFonts w:asciiTheme="minorHAnsi" w:eastAsia="Times New Roman" w:hAnsiTheme="minorHAnsi"/>
          <w:color w:val="000000"/>
        </w:rPr>
        <w:t>Certainly</w:t>
      </w:r>
      <w:r w:rsidR="001A6274" w:rsidRPr="00CB1460">
        <w:rPr>
          <w:rFonts w:asciiTheme="minorHAnsi" w:eastAsia="Times New Roman" w:hAnsiTheme="minorHAnsi"/>
          <w:color w:val="000000"/>
        </w:rPr>
        <w:t>, if one</w:t>
      </w:r>
      <w:r w:rsidR="00BF20BF" w:rsidRPr="00CB1460">
        <w:rPr>
          <w:rFonts w:asciiTheme="minorHAnsi" w:eastAsia="Times New Roman" w:hAnsiTheme="minorHAnsi"/>
          <w:color w:val="000000"/>
        </w:rPr>
        <w:t xml:space="preserve"> reads the views of The Center for Public Integrity, one comes away believing that all subprime loans involved terms that we</w:t>
      </w:r>
      <w:r w:rsidR="00B658AA" w:rsidRPr="00CB1460">
        <w:rPr>
          <w:rFonts w:asciiTheme="minorHAnsi" w:eastAsia="Times New Roman" w:hAnsiTheme="minorHAnsi"/>
          <w:color w:val="000000"/>
        </w:rPr>
        <w:t xml:space="preserve">re </w:t>
      </w:r>
      <w:r w:rsidR="0057564E" w:rsidRPr="00CB1460">
        <w:rPr>
          <w:rFonts w:asciiTheme="minorHAnsi" w:eastAsia="Times New Roman" w:hAnsiTheme="minorHAnsi"/>
          <w:color w:val="000000"/>
        </w:rPr>
        <w:t>im</w:t>
      </w:r>
      <w:r w:rsidR="00B658AA" w:rsidRPr="00CB1460">
        <w:rPr>
          <w:rFonts w:asciiTheme="minorHAnsi" w:eastAsia="Times New Roman" w:hAnsiTheme="minorHAnsi"/>
          <w:color w:val="000000"/>
        </w:rPr>
        <w:t>possible for</w:t>
      </w:r>
      <w:r w:rsidR="00BF20BF" w:rsidRPr="00CB1460">
        <w:rPr>
          <w:rFonts w:asciiTheme="minorHAnsi" w:eastAsia="Times New Roman" w:hAnsiTheme="minorHAnsi"/>
          <w:color w:val="000000"/>
        </w:rPr>
        <w:t xml:space="preserve"> the public to understand.</w:t>
      </w:r>
      <w:r w:rsidR="00D65AAF" w:rsidRPr="00CB1460">
        <w:rPr>
          <w:rStyle w:val="FootnoteReference"/>
          <w:rFonts w:asciiTheme="minorHAnsi" w:eastAsia="Times New Roman" w:hAnsiTheme="minorHAnsi"/>
          <w:color w:val="000000"/>
        </w:rPr>
        <w:footnoteReference w:id="31"/>
      </w:r>
    </w:p>
    <w:p w14:paraId="2B1E38D7" w14:textId="77777777" w:rsidR="00B604A4" w:rsidRPr="00CB1460" w:rsidRDefault="00B604A4" w:rsidP="00554E0E">
      <w:pPr>
        <w:jc w:val="both"/>
        <w:rPr>
          <w:rFonts w:asciiTheme="minorHAnsi" w:eastAsia="Times New Roman" w:hAnsiTheme="minorHAnsi"/>
          <w:color w:val="000000"/>
        </w:rPr>
      </w:pPr>
    </w:p>
    <w:p w14:paraId="0DE52C1A" w14:textId="7E43BC1C" w:rsidR="0057564E" w:rsidRPr="00CB1460" w:rsidRDefault="00680B95" w:rsidP="00554E0E">
      <w:pPr>
        <w:jc w:val="both"/>
        <w:rPr>
          <w:rFonts w:asciiTheme="minorHAnsi" w:eastAsia="Times New Roman" w:hAnsiTheme="minorHAnsi"/>
          <w:color w:val="000000"/>
        </w:rPr>
      </w:pPr>
      <w:r w:rsidRPr="00CB1460">
        <w:rPr>
          <w:rFonts w:asciiTheme="minorHAnsi" w:eastAsia="Times New Roman" w:hAnsiTheme="minorHAnsi"/>
          <w:color w:val="000000"/>
        </w:rPr>
        <w:t xml:space="preserve">But </w:t>
      </w:r>
      <w:r w:rsidR="00AD1E02" w:rsidRPr="00CB1460">
        <w:rPr>
          <w:rFonts w:asciiTheme="minorHAnsi" w:eastAsia="Times New Roman" w:hAnsiTheme="minorHAnsi"/>
          <w:color w:val="000000"/>
        </w:rPr>
        <w:t>such loans had been in exi</w:t>
      </w:r>
      <w:r w:rsidR="003E187C" w:rsidRPr="00CB1460">
        <w:rPr>
          <w:rFonts w:asciiTheme="minorHAnsi" w:eastAsia="Times New Roman" w:hAnsiTheme="minorHAnsi"/>
          <w:color w:val="000000"/>
        </w:rPr>
        <w:t xml:space="preserve">stence since 1982, i.e., </w:t>
      </w:r>
      <w:r w:rsidR="00AD1E02" w:rsidRPr="00CB1460">
        <w:rPr>
          <w:rFonts w:asciiTheme="minorHAnsi" w:eastAsia="Times New Roman" w:hAnsiTheme="minorHAnsi"/>
          <w:color w:val="000000"/>
        </w:rPr>
        <w:t>26 years before the GR.</w:t>
      </w:r>
      <w:r w:rsidR="00EB4628" w:rsidRPr="00CB1460">
        <w:rPr>
          <w:rStyle w:val="FootnoteReference"/>
          <w:rFonts w:asciiTheme="minorHAnsi" w:eastAsia="Times New Roman" w:hAnsiTheme="minorHAnsi"/>
          <w:color w:val="000000"/>
        </w:rPr>
        <w:footnoteReference w:id="32"/>
      </w:r>
      <w:r w:rsidR="00AD1E02" w:rsidRPr="00CB1460">
        <w:rPr>
          <w:rFonts w:asciiTheme="minorHAnsi" w:eastAsia="Times New Roman" w:hAnsiTheme="minorHAnsi"/>
          <w:color w:val="000000"/>
        </w:rPr>
        <w:t xml:space="preserve"> </w:t>
      </w:r>
      <w:r w:rsidR="005C4F4B" w:rsidRPr="00CB1460">
        <w:rPr>
          <w:rFonts w:asciiTheme="minorHAnsi" w:eastAsia="Times New Roman" w:hAnsiTheme="minorHAnsi"/>
          <w:color w:val="000000"/>
        </w:rPr>
        <w:t>Moreover, t</w:t>
      </w:r>
      <w:r w:rsidR="00AD1E02" w:rsidRPr="00CB1460">
        <w:rPr>
          <w:rFonts w:asciiTheme="minorHAnsi" w:eastAsia="Times New Roman" w:hAnsiTheme="minorHAnsi"/>
          <w:color w:val="000000"/>
        </w:rPr>
        <w:t xml:space="preserve">he share of subprime loans that were predatory </w:t>
      </w:r>
      <w:r w:rsidR="005C4F4B" w:rsidRPr="00CB1460">
        <w:rPr>
          <w:rFonts w:asciiTheme="minorHAnsi" w:eastAsia="Times New Roman" w:hAnsiTheme="minorHAnsi"/>
          <w:color w:val="000000"/>
        </w:rPr>
        <w:t>could not have been that large since</w:t>
      </w:r>
      <w:r w:rsidR="001A6274" w:rsidRPr="00CB1460">
        <w:rPr>
          <w:rFonts w:asciiTheme="minorHAnsi" w:eastAsia="Times New Roman" w:hAnsiTheme="minorHAnsi"/>
          <w:color w:val="000000"/>
        </w:rPr>
        <w:t xml:space="preserve">, </w:t>
      </w:r>
      <w:r w:rsidR="002F22C0" w:rsidRPr="00CB1460">
        <w:rPr>
          <w:rFonts w:asciiTheme="minorHAnsi" w:eastAsia="Times New Roman" w:hAnsiTheme="minorHAnsi"/>
          <w:color w:val="000000"/>
        </w:rPr>
        <w:t>at most, 15 percent went into foreclosure</w:t>
      </w:r>
      <w:r w:rsidR="001A6274" w:rsidRPr="00CB1460">
        <w:rPr>
          <w:rFonts w:asciiTheme="minorHAnsi" w:eastAsia="Times New Roman" w:hAnsiTheme="minorHAnsi"/>
          <w:color w:val="000000"/>
        </w:rPr>
        <w:t xml:space="preserve"> </w:t>
      </w:r>
      <w:r w:rsidR="00B658AA" w:rsidRPr="00CB1460">
        <w:rPr>
          <w:rFonts w:asciiTheme="minorHAnsi" w:eastAsia="Times New Roman" w:hAnsiTheme="minorHAnsi"/>
          <w:color w:val="000000"/>
        </w:rPr>
        <w:t xml:space="preserve">during the GR. But they did so </w:t>
      </w:r>
      <w:r w:rsidR="001A6274" w:rsidRPr="00CB1460">
        <w:rPr>
          <w:rFonts w:asciiTheme="minorHAnsi" w:eastAsia="Times New Roman" w:hAnsiTheme="minorHAnsi"/>
          <w:color w:val="000000"/>
        </w:rPr>
        <w:t xml:space="preserve">in the context of an unemployment rate that </w:t>
      </w:r>
      <w:r w:rsidR="0057564E" w:rsidRPr="00CB1460">
        <w:rPr>
          <w:rFonts w:asciiTheme="minorHAnsi" w:eastAsia="Times New Roman" w:hAnsiTheme="minorHAnsi"/>
          <w:color w:val="000000"/>
        </w:rPr>
        <w:t>reached 10 percent!</w:t>
      </w:r>
      <w:r w:rsidR="00B658AA" w:rsidRPr="00CB1460">
        <w:rPr>
          <w:rFonts w:asciiTheme="minorHAnsi" w:eastAsia="Times New Roman" w:hAnsiTheme="minorHAnsi"/>
          <w:color w:val="000000"/>
        </w:rPr>
        <w:t xml:space="preserve"> </w:t>
      </w:r>
      <w:r w:rsidR="00BC5380" w:rsidRPr="00CB1460">
        <w:rPr>
          <w:rFonts w:asciiTheme="minorHAnsi" w:eastAsia="Times New Roman" w:hAnsiTheme="minorHAnsi"/>
          <w:color w:val="000000"/>
        </w:rPr>
        <w:t xml:space="preserve"> </w:t>
      </w:r>
    </w:p>
    <w:p w14:paraId="5634412C" w14:textId="77777777" w:rsidR="00A90E6E" w:rsidRPr="00CB1460" w:rsidRDefault="00A90E6E" w:rsidP="00554E0E">
      <w:pPr>
        <w:jc w:val="both"/>
        <w:rPr>
          <w:rFonts w:asciiTheme="minorHAnsi" w:eastAsia="Times New Roman" w:hAnsiTheme="minorHAnsi"/>
          <w:color w:val="000000"/>
        </w:rPr>
      </w:pPr>
    </w:p>
    <w:p w14:paraId="4CEB19DD" w14:textId="60217FAE" w:rsidR="00680B95" w:rsidRPr="00CB1460" w:rsidRDefault="00BC5380" w:rsidP="00554E0E">
      <w:pPr>
        <w:jc w:val="both"/>
        <w:rPr>
          <w:rFonts w:asciiTheme="minorHAnsi" w:eastAsia="Times New Roman" w:hAnsiTheme="minorHAnsi"/>
          <w:color w:val="000000"/>
        </w:rPr>
      </w:pPr>
      <w:r w:rsidRPr="00CB1460">
        <w:rPr>
          <w:rFonts w:asciiTheme="minorHAnsi" w:eastAsia="Times New Roman" w:hAnsiTheme="minorHAnsi"/>
          <w:color w:val="000000"/>
        </w:rPr>
        <w:t>As mentioned, in 2007, before</w:t>
      </w:r>
      <w:r w:rsidR="00B658AA" w:rsidRPr="00CB1460">
        <w:rPr>
          <w:rFonts w:asciiTheme="minorHAnsi" w:eastAsia="Times New Roman" w:hAnsiTheme="minorHAnsi"/>
          <w:color w:val="000000"/>
        </w:rPr>
        <w:t xml:space="preserve"> the GR, </w:t>
      </w:r>
      <w:r w:rsidR="00DC75DE" w:rsidRPr="00CB1460">
        <w:rPr>
          <w:rFonts w:asciiTheme="minorHAnsi" w:eastAsia="Times New Roman" w:hAnsiTheme="minorHAnsi"/>
          <w:color w:val="000000"/>
        </w:rPr>
        <w:t xml:space="preserve">the foreclosure rate </w:t>
      </w:r>
      <w:r w:rsidRPr="00CB1460">
        <w:rPr>
          <w:rFonts w:asciiTheme="minorHAnsi" w:eastAsia="Times New Roman" w:hAnsiTheme="minorHAnsi"/>
          <w:color w:val="000000"/>
        </w:rPr>
        <w:t xml:space="preserve">was 5 percent. </w:t>
      </w:r>
      <w:r w:rsidR="008E1B70" w:rsidRPr="00CB1460">
        <w:rPr>
          <w:rFonts w:asciiTheme="minorHAnsi" w:eastAsia="Times New Roman" w:hAnsiTheme="minorHAnsi"/>
          <w:color w:val="000000"/>
        </w:rPr>
        <w:t>Its lowest value, between 2002 and 2007, was 3 percent, which was observed in Q3 2005.</w:t>
      </w:r>
      <w:r w:rsidR="008E1B70" w:rsidRPr="00CB1460">
        <w:rPr>
          <w:rStyle w:val="FootnoteReference"/>
          <w:rFonts w:asciiTheme="minorHAnsi" w:eastAsia="Times New Roman" w:hAnsiTheme="minorHAnsi"/>
          <w:color w:val="000000"/>
        </w:rPr>
        <w:footnoteReference w:id="33"/>
      </w:r>
      <w:r w:rsidR="008E1B70" w:rsidRPr="00CB1460">
        <w:rPr>
          <w:rFonts w:asciiTheme="minorHAnsi" w:eastAsia="Times New Roman" w:hAnsiTheme="minorHAnsi"/>
          <w:color w:val="000000"/>
        </w:rPr>
        <w:t xml:space="preserve"> I</w:t>
      </w:r>
      <w:r w:rsidR="000C1CF5" w:rsidRPr="00CB1460">
        <w:rPr>
          <w:rFonts w:asciiTheme="minorHAnsi" w:eastAsia="Times New Roman" w:hAnsiTheme="minorHAnsi"/>
          <w:color w:val="000000"/>
        </w:rPr>
        <w:t xml:space="preserve">f one assumes that all of the </w:t>
      </w:r>
      <w:r w:rsidR="008E1B70" w:rsidRPr="00CB1460">
        <w:rPr>
          <w:rFonts w:asciiTheme="minorHAnsi" w:eastAsia="Times New Roman" w:hAnsiTheme="minorHAnsi"/>
          <w:color w:val="000000"/>
        </w:rPr>
        <w:t>2 percentage-point increase in</w:t>
      </w:r>
      <w:r w:rsidR="000C1CF5" w:rsidRPr="00CB1460">
        <w:rPr>
          <w:rFonts w:asciiTheme="minorHAnsi" w:eastAsia="Times New Roman" w:hAnsiTheme="minorHAnsi"/>
          <w:color w:val="000000"/>
        </w:rPr>
        <w:t xml:space="preserve"> subprimes involved </w:t>
      </w:r>
      <w:r w:rsidR="008E1B70" w:rsidRPr="00CB1460">
        <w:rPr>
          <w:rFonts w:asciiTheme="minorHAnsi" w:eastAsia="Times New Roman" w:hAnsiTheme="minorHAnsi"/>
          <w:color w:val="000000"/>
        </w:rPr>
        <w:t>predatory lending</w:t>
      </w:r>
      <w:r w:rsidR="000C1CF5" w:rsidRPr="00CB1460">
        <w:rPr>
          <w:rFonts w:asciiTheme="minorHAnsi" w:eastAsia="Times New Roman" w:hAnsiTheme="minorHAnsi"/>
          <w:color w:val="000000"/>
        </w:rPr>
        <w:t xml:space="preserve">, we’re still </w:t>
      </w:r>
      <w:r w:rsidR="008E1B70" w:rsidRPr="00CB1460">
        <w:rPr>
          <w:rFonts w:asciiTheme="minorHAnsi" w:eastAsia="Times New Roman" w:hAnsiTheme="minorHAnsi"/>
          <w:color w:val="000000"/>
        </w:rPr>
        <w:t>talking about predator</w:t>
      </w:r>
      <w:r w:rsidR="000C1CF5" w:rsidRPr="00CB1460">
        <w:rPr>
          <w:rFonts w:asciiTheme="minorHAnsi" w:eastAsia="Times New Roman" w:hAnsiTheme="minorHAnsi"/>
          <w:color w:val="000000"/>
        </w:rPr>
        <w:t xml:space="preserve">y lending </w:t>
      </w:r>
      <w:r w:rsidR="000732EC" w:rsidRPr="00CB1460">
        <w:rPr>
          <w:rFonts w:asciiTheme="minorHAnsi" w:eastAsia="Times New Roman" w:hAnsiTheme="minorHAnsi"/>
          <w:color w:val="000000"/>
        </w:rPr>
        <w:t>causing</w:t>
      </w:r>
      <w:r w:rsidR="0057564E" w:rsidRPr="00CB1460">
        <w:rPr>
          <w:rFonts w:asciiTheme="minorHAnsi" w:eastAsia="Times New Roman" w:hAnsiTheme="minorHAnsi"/>
          <w:color w:val="000000"/>
        </w:rPr>
        <w:t>, at most,</w:t>
      </w:r>
      <w:r w:rsidR="000C1CF5" w:rsidRPr="00CB1460">
        <w:rPr>
          <w:rFonts w:asciiTheme="minorHAnsi" w:eastAsia="Times New Roman" w:hAnsiTheme="minorHAnsi"/>
          <w:color w:val="000000"/>
        </w:rPr>
        <w:t xml:space="preserve"> 0.3 percent </w:t>
      </w:r>
      <w:r w:rsidR="000732EC" w:rsidRPr="00CB1460">
        <w:rPr>
          <w:rFonts w:asciiTheme="minorHAnsi" w:eastAsia="Times New Roman" w:hAnsiTheme="minorHAnsi"/>
          <w:color w:val="000000"/>
        </w:rPr>
        <w:t>more mortgages to d</w:t>
      </w:r>
      <w:r w:rsidR="003E187C" w:rsidRPr="00CB1460">
        <w:rPr>
          <w:rFonts w:asciiTheme="minorHAnsi" w:eastAsia="Times New Roman" w:hAnsiTheme="minorHAnsi"/>
          <w:color w:val="000000"/>
        </w:rPr>
        <w:t xml:space="preserve">efinitely default, namely, </w:t>
      </w:r>
      <w:r w:rsidR="0057564E" w:rsidRPr="00CB1460">
        <w:rPr>
          <w:rFonts w:asciiTheme="minorHAnsi" w:eastAsia="Times New Roman" w:hAnsiTheme="minorHAnsi"/>
          <w:color w:val="000000"/>
        </w:rPr>
        <w:t>enter</w:t>
      </w:r>
      <w:r w:rsidR="000732EC" w:rsidRPr="00CB1460">
        <w:rPr>
          <w:rFonts w:asciiTheme="minorHAnsi" w:eastAsia="Times New Roman" w:hAnsiTheme="minorHAnsi"/>
          <w:color w:val="000000"/>
        </w:rPr>
        <w:t xml:space="preserve"> foreclosure. This is simply too small a figure to matter to the overall economy. </w:t>
      </w:r>
      <w:r w:rsidR="001C69B4" w:rsidRPr="00CB1460">
        <w:rPr>
          <w:rFonts w:asciiTheme="minorHAnsi" w:eastAsia="Times New Roman" w:hAnsiTheme="minorHAnsi"/>
          <w:color w:val="000000"/>
        </w:rPr>
        <w:t xml:space="preserve">Indeed, given the size of the 2007 mortgage market, it represents </w:t>
      </w:r>
      <w:r w:rsidR="003E187C" w:rsidRPr="00CB1460">
        <w:rPr>
          <w:rFonts w:asciiTheme="minorHAnsi" w:eastAsia="Times New Roman" w:hAnsiTheme="minorHAnsi"/>
          <w:color w:val="000000"/>
        </w:rPr>
        <w:t xml:space="preserve">just </w:t>
      </w:r>
      <w:r w:rsidR="001C69B4" w:rsidRPr="00CB1460">
        <w:rPr>
          <w:rFonts w:asciiTheme="minorHAnsi" w:eastAsia="Times New Roman" w:hAnsiTheme="minorHAnsi"/>
          <w:color w:val="000000"/>
        </w:rPr>
        <w:t>$32 billion.</w:t>
      </w:r>
      <w:r w:rsidR="001C69B4" w:rsidRPr="00CB1460">
        <w:rPr>
          <w:rStyle w:val="FootnoteReference"/>
          <w:rFonts w:asciiTheme="minorHAnsi" w:eastAsia="Times New Roman" w:hAnsiTheme="minorHAnsi"/>
          <w:color w:val="000000"/>
        </w:rPr>
        <w:footnoteReference w:id="34"/>
      </w:r>
      <w:r w:rsidR="003E187C" w:rsidRPr="00CB1460">
        <w:rPr>
          <w:rFonts w:asciiTheme="minorHAnsi" w:eastAsia="Times New Roman" w:hAnsiTheme="minorHAnsi"/>
          <w:color w:val="000000"/>
        </w:rPr>
        <w:t xml:space="preserve"> In 2007, U.S. GDP</w:t>
      </w:r>
      <w:r w:rsidR="001C69B4" w:rsidRPr="00CB1460">
        <w:rPr>
          <w:rFonts w:asciiTheme="minorHAnsi" w:eastAsia="Times New Roman" w:hAnsiTheme="minorHAnsi"/>
          <w:color w:val="000000"/>
        </w:rPr>
        <w:t xml:space="preserve"> was </w:t>
      </w:r>
      <w:r w:rsidR="00841929" w:rsidRPr="00CB1460">
        <w:rPr>
          <w:rFonts w:asciiTheme="minorHAnsi" w:eastAsia="Times New Roman" w:hAnsiTheme="minorHAnsi"/>
          <w:color w:val="000000"/>
        </w:rPr>
        <w:t xml:space="preserve">$14.4 trillion. The economy’s 2007 total net wealth was </w:t>
      </w:r>
      <w:r w:rsidR="000149FB" w:rsidRPr="00CB1460">
        <w:rPr>
          <w:rFonts w:asciiTheme="minorHAnsi" w:eastAsia="Times New Roman" w:hAnsiTheme="minorHAnsi"/>
          <w:color w:val="000000"/>
        </w:rPr>
        <w:t>$68 trillion. Hence, $32 billion is trivially small compared t</w:t>
      </w:r>
      <w:r w:rsidR="00802E12" w:rsidRPr="00CB1460">
        <w:rPr>
          <w:rFonts w:asciiTheme="minorHAnsi" w:eastAsia="Times New Roman" w:hAnsiTheme="minorHAnsi"/>
          <w:color w:val="000000"/>
        </w:rPr>
        <w:t xml:space="preserve">o the size of the 2007 overall economy or its total </w:t>
      </w:r>
      <w:r w:rsidR="00A33447" w:rsidRPr="00CB1460">
        <w:rPr>
          <w:rFonts w:asciiTheme="minorHAnsi" w:eastAsia="Times New Roman" w:hAnsiTheme="minorHAnsi"/>
          <w:color w:val="000000"/>
        </w:rPr>
        <w:t xml:space="preserve">net </w:t>
      </w:r>
      <w:r w:rsidR="00802E12" w:rsidRPr="00CB1460">
        <w:rPr>
          <w:rFonts w:asciiTheme="minorHAnsi" w:eastAsia="Times New Roman" w:hAnsiTheme="minorHAnsi"/>
          <w:color w:val="000000"/>
        </w:rPr>
        <w:t>wealth.</w:t>
      </w:r>
    </w:p>
    <w:p w14:paraId="24D0CCE7" w14:textId="77777777" w:rsidR="000548EE" w:rsidRPr="00CB1460" w:rsidRDefault="000548EE" w:rsidP="00554E0E">
      <w:pPr>
        <w:jc w:val="both"/>
        <w:rPr>
          <w:rFonts w:asciiTheme="minorHAnsi" w:eastAsia="Times New Roman" w:hAnsiTheme="minorHAnsi"/>
          <w:color w:val="000000"/>
        </w:rPr>
      </w:pPr>
    </w:p>
    <w:p w14:paraId="4462C76A" w14:textId="363ECD2C" w:rsidR="000548EE" w:rsidRPr="00CB1460" w:rsidRDefault="000548EE" w:rsidP="00554E0E">
      <w:pPr>
        <w:jc w:val="both"/>
        <w:rPr>
          <w:rFonts w:asciiTheme="minorHAnsi" w:eastAsia="Times New Roman" w:hAnsiTheme="minorHAnsi"/>
          <w:b/>
          <w:color w:val="000000"/>
        </w:rPr>
      </w:pPr>
      <w:r w:rsidRPr="00CB1460">
        <w:rPr>
          <w:rFonts w:asciiTheme="minorHAnsi" w:eastAsia="Times New Roman" w:hAnsiTheme="minorHAnsi"/>
          <w:b/>
          <w:color w:val="000000"/>
        </w:rPr>
        <w:t>Dramatic Increases in Household Mortgage Debt</w:t>
      </w:r>
    </w:p>
    <w:p w14:paraId="74926790" w14:textId="77777777" w:rsidR="0000099E" w:rsidRPr="00CB1460" w:rsidRDefault="000726DD" w:rsidP="00554E0E">
      <w:pPr>
        <w:jc w:val="both"/>
        <w:rPr>
          <w:rFonts w:asciiTheme="minorHAnsi" w:eastAsia="Times New Roman" w:hAnsiTheme="minorHAnsi"/>
          <w:color w:val="000000"/>
        </w:rPr>
      </w:pPr>
      <w:r w:rsidRPr="00CB1460">
        <w:rPr>
          <w:rFonts w:asciiTheme="minorHAnsi" w:eastAsia="Times New Roman" w:hAnsiTheme="minorHAnsi"/>
          <w:color w:val="000000"/>
        </w:rPr>
        <w:t xml:space="preserve">Another GR “smoking gun” </w:t>
      </w:r>
      <w:r w:rsidR="00551A59" w:rsidRPr="00CB1460">
        <w:rPr>
          <w:rFonts w:asciiTheme="minorHAnsi" w:eastAsia="Times New Roman" w:hAnsiTheme="minorHAnsi"/>
          <w:color w:val="000000"/>
        </w:rPr>
        <w:t>is the pre-GR run up of mortgage debt, which roughly doubled between 2002 and 2007.</w:t>
      </w:r>
      <w:r w:rsidR="00F81D00" w:rsidRPr="00CB1460">
        <w:rPr>
          <w:rStyle w:val="FootnoteReference"/>
          <w:rFonts w:asciiTheme="minorHAnsi" w:eastAsia="Times New Roman" w:hAnsiTheme="minorHAnsi"/>
          <w:color w:val="000000"/>
        </w:rPr>
        <w:footnoteReference w:id="35"/>
      </w:r>
      <w:r w:rsidR="00551A59" w:rsidRPr="00CB1460">
        <w:rPr>
          <w:rFonts w:asciiTheme="minorHAnsi" w:eastAsia="Times New Roman" w:hAnsiTheme="minorHAnsi"/>
          <w:color w:val="000000"/>
        </w:rPr>
        <w:t xml:space="preserve"> </w:t>
      </w:r>
      <w:r w:rsidR="00F81D00" w:rsidRPr="00CB1460">
        <w:rPr>
          <w:rFonts w:asciiTheme="minorHAnsi" w:eastAsia="Times New Roman" w:hAnsiTheme="minorHAnsi"/>
          <w:color w:val="000000"/>
        </w:rPr>
        <w:t xml:space="preserve">Surely, the addition of over $750 billion in mortgage debt in the course of 6 short years must represent </w:t>
      </w:r>
      <w:r w:rsidR="00A65258" w:rsidRPr="00CB1460">
        <w:rPr>
          <w:rFonts w:asciiTheme="minorHAnsi" w:eastAsia="Times New Roman" w:hAnsiTheme="minorHAnsi"/>
          <w:color w:val="000000"/>
        </w:rPr>
        <w:t>a priori evidence that a massive recession was in the works. Not so. There is no</w:t>
      </w:r>
      <w:r w:rsidR="008F0C4A" w:rsidRPr="00CB1460">
        <w:rPr>
          <w:rFonts w:asciiTheme="minorHAnsi" w:eastAsia="Times New Roman" w:hAnsiTheme="minorHAnsi"/>
          <w:color w:val="000000"/>
        </w:rPr>
        <w:t xml:space="preserve">thing in economic theory that suggests that increased borrowing should cause recessions. </w:t>
      </w:r>
      <w:r w:rsidR="0013332A" w:rsidRPr="00CB1460">
        <w:rPr>
          <w:rFonts w:asciiTheme="minorHAnsi" w:eastAsia="Times New Roman" w:hAnsiTheme="minorHAnsi"/>
          <w:color w:val="000000"/>
        </w:rPr>
        <w:t xml:space="preserve">The increase in borrowing to purchase homes was not associated with a massive spending spree on the part of the American public. Indeed, </w:t>
      </w:r>
      <w:r w:rsidR="00AF6DFA" w:rsidRPr="00CB1460">
        <w:rPr>
          <w:rFonts w:asciiTheme="minorHAnsi" w:eastAsia="Times New Roman" w:hAnsiTheme="minorHAnsi"/>
          <w:color w:val="000000"/>
        </w:rPr>
        <w:t xml:space="preserve">the share of GDP consumed by the public remained fixed at roughly 67 percent between early 2002 and late 2007. </w:t>
      </w:r>
    </w:p>
    <w:p w14:paraId="0FF96D71" w14:textId="77777777" w:rsidR="0000099E" w:rsidRPr="00CB1460" w:rsidRDefault="0000099E" w:rsidP="00554E0E">
      <w:pPr>
        <w:jc w:val="both"/>
        <w:rPr>
          <w:rFonts w:asciiTheme="minorHAnsi" w:eastAsia="Times New Roman" w:hAnsiTheme="minorHAnsi"/>
          <w:color w:val="000000"/>
        </w:rPr>
      </w:pPr>
    </w:p>
    <w:p w14:paraId="5030AFE6" w14:textId="61E9EE2E" w:rsidR="000548EE" w:rsidRPr="00CB1460" w:rsidRDefault="00AF6DFA" w:rsidP="00554E0E">
      <w:pPr>
        <w:jc w:val="both"/>
        <w:rPr>
          <w:rFonts w:asciiTheme="minorHAnsi" w:eastAsia="Times New Roman" w:hAnsiTheme="minorHAnsi"/>
          <w:color w:val="000000"/>
        </w:rPr>
      </w:pPr>
      <w:r w:rsidRPr="00CB1460">
        <w:rPr>
          <w:rFonts w:asciiTheme="minorHAnsi" w:eastAsia="Times New Roman" w:hAnsiTheme="minorHAnsi"/>
          <w:color w:val="000000"/>
        </w:rPr>
        <w:t>This means that Amer</w:t>
      </w:r>
      <w:r w:rsidR="00B15557" w:rsidRPr="00CB1460">
        <w:rPr>
          <w:rFonts w:asciiTheme="minorHAnsi" w:eastAsia="Times New Roman" w:hAnsiTheme="minorHAnsi"/>
          <w:color w:val="000000"/>
        </w:rPr>
        <w:t>icans, as a whole, borrowed mor</w:t>
      </w:r>
      <w:r w:rsidR="001E1222" w:rsidRPr="00CB1460">
        <w:rPr>
          <w:rFonts w:asciiTheme="minorHAnsi" w:eastAsia="Times New Roman" w:hAnsiTheme="minorHAnsi"/>
          <w:color w:val="000000"/>
        </w:rPr>
        <w:t>e, not to spend, but to invest.</w:t>
      </w:r>
      <w:r w:rsidR="00B15557" w:rsidRPr="00CB1460">
        <w:rPr>
          <w:rFonts w:asciiTheme="minorHAnsi" w:eastAsia="Times New Roman" w:hAnsiTheme="minorHAnsi"/>
          <w:color w:val="000000"/>
        </w:rPr>
        <w:t xml:space="preserve"> </w:t>
      </w:r>
      <w:r w:rsidR="00793D51" w:rsidRPr="00CB1460">
        <w:rPr>
          <w:rFonts w:asciiTheme="minorHAnsi" w:eastAsia="Times New Roman" w:hAnsiTheme="minorHAnsi"/>
          <w:color w:val="000000"/>
        </w:rPr>
        <w:t xml:space="preserve">Stated differently, their decision to borrow more on their homes was not accompanied by a decline in their net wealth. Collectively, they simply borrowed and lent. </w:t>
      </w:r>
      <w:r w:rsidR="00E92720" w:rsidRPr="00CB1460">
        <w:rPr>
          <w:rFonts w:asciiTheme="minorHAnsi" w:eastAsia="Times New Roman" w:hAnsiTheme="minorHAnsi"/>
          <w:color w:val="000000"/>
        </w:rPr>
        <w:t>In fact,</w:t>
      </w:r>
      <w:r w:rsidR="0000099E" w:rsidRPr="00CB1460">
        <w:rPr>
          <w:rFonts w:asciiTheme="minorHAnsi" w:eastAsia="Times New Roman" w:hAnsiTheme="minorHAnsi"/>
          <w:color w:val="000000"/>
        </w:rPr>
        <w:t xml:space="preserve"> </w:t>
      </w:r>
      <w:r w:rsidR="00793D51" w:rsidRPr="00CB1460">
        <w:rPr>
          <w:rFonts w:asciiTheme="minorHAnsi" w:eastAsia="Times New Roman" w:hAnsiTheme="minorHAnsi"/>
          <w:color w:val="000000"/>
        </w:rPr>
        <w:t>Americ</w:t>
      </w:r>
      <w:r w:rsidR="00E92720" w:rsidRPr="00CB1460">
        <w:rPr>
          <w:rFonts w:asciiTheme="minorHAnsi" w:eastAsia="Times New Roman" w:hAnsiTheme="minorHAnsi"/>
          <w:color w:val="000000"/>
        </w:rPr>
        <w:t>ans’ net wealth rose</w:t>
      </w:r>
      <w:r w:rsidR="0000099E" w:rsidRPr="00CB1460">
        <w:rPr>
          <w:rFonts w:asciiTheme="minorHAnsi" w:eastAsia="Times New Roman" w:hAnsiTheme="minorHAnsi"/>
          <w:color w:val="000000"/>
        </w:rPr>
        <w:t xml:space="preserve"> </w:t>
      </w:r>
      <w:r w:rsidR="00793D51" w:rsidRPr="00CB1460">
        <w:rPr>
          <w:rFonts w:asciiTheme="minorHAnsi" w:eastAsia="Times New Roman" w:hAnsiTheme="minorHAnsi"/>
          <w:color w:val="000000"/>
        </w:rPr>
        <w:t>by over $6 trillion</w:t>
      </w:r>
      <w:r w:rsidR="00E92720" w:rsidRPr="00CB1460">
        <w:rPr>
          <w:rFonts w:asciiTheme="minorHAnsi" w:eastAsia="Times New Roman" w:hAnsiTheme="minorHAnsi"/>
          <w:color w:val="000000"/>
        </w:rPr>
        <w:t xml:space="preserve"> between 2002 and 2007</w:t>
      </w:r>
      <w:r w:rsidR="00EF74E6" w:rsidRPr="00CB1460">
        <w:rPr>
          <w:rFonts w:asciiTheme="minorHAnsi" w:eastAsia="Times New Roman" w:hAnsiTheme="minorHAnsi"/>
          <w:color w:val="000000"/>
        </w:rPr>
        <w:t>. This represented an 83 percent increase</w:t>
      </w:r>
      <w:r w:rsidR="00793D51" w:rsidRPr="00CB1460">
        <w:rPr>
          <w:rFonts w:asciiTheme="minorHAnsi" w:eastAsia="Times New Roman" w:hAnsiTheme="minorHAnsi"/>
          <w:color w:val="000000"/>
        </w:rPr>
        <w:t xml:space="preserve">. And, </w:t>
      </w:r>
      <w:r w:rsidR="00793D51" w:rsidRPr="00CB1460">
        <w:rPr>
          <w:rFonts w:asciiTheme="minorHAnsi" w:eastAsia="Times New Roman" w:hAnsiTheme="minorHAnsi"/>
          <w:color w:val="000000"/>
        </w:rPr>
        <w:lastRenderedPageBreak/>
        <w:t xml:space="preserve">although the ratio of mortgage debt to </w:t>
      </w:r>
      <w:r w:rsidR="00EF74E6" w:rsidRPr="00CB1460">
        <w:rPr>
          <w:rFonts w:asciiTheme="minorHAnsi" w:eastAsia="Times New Roman" w:hAnsiTheme="minorHAnsi"/>
          <w:color w:val="000000"/>
        </w:rPr>
        <w:t xml:space="preserve">household net wealth rose, it didn’t rise by much – from 17 percent in 2001 to </w:t>
      </w:r>
      <w:r w:rsidR="007F6A78" w:rsidRPr="00CB1460">
        <w:rPr>
          <w:rFonts w:asciiTheme="minorHAnsi" w:eastAsia="Times New Roman" w:hAnsiTheme="minorHAnsi"/>
          <w:color w:val="000000"/>
        </w:rPr>
        <w:t xml:space="preserve">only </w:t>
      </w:r>
      <w:r w:rsidR="00EF74E6" w:rsidRPr="00CB1460">
        <w:rPr>
          <w:rFonts w:asciiTheme="minorHAnsi" w:eastAsia="Times New Roman" w:hAnsiTheme="minorHAnsi"/>
          <w:color w:val="000000"/>
        </w:rPr>
        <w:t xml:space="preserve">20 percent in 2007. </w:t>
      </w:r>
    </w:p>
    <w:p w14:paraId="4184705F" w14:textId="77777777" w:rsidR="00802E12" w:rsidRPr="00CB1460" w:rsidRDefault="00802E12" w:rsidP="00554E0E">
      <w:pPr>
        <w:jc w:val="both"/>
        <w:rPr>
          <w:rFonts w:asciiTheme="minorHAnsi" w:eastAsia="Times New Roman" w:hAnsiTheme="minorHAnsi"/>
          <w:color w:val="000000"/>
        </w:rPr>
      </w:pPr>
    </w:p>
    <w:p w14:paraId="261D8573" w14:textId="7EDAA747" w:rsidR="008B236A" w:rsidRDefault="008B236A" w:rsidP="00554E0E">
      <w:pPr>
        <w:jc w:val="both"/>
        <w:rPr>
          <w:rFonts w:asciiTheme="minorHAnsi" w:eastAsia="Times New Roman" w:hAnsiTheme="minorHAnsi"/>
          <w:color w:val="000000"/>
        </w:rPr>
      </w:pPr>
      <w:r w:rsidRPr="00CB1460">
        <w:rPr>
          <w:rFonts w:asciiTheme="minorHAnsi" w:eastAsia="Times New Roman" w:hAnsiTheme="minorHAnsi"/>
          <w:color w:val="000000"/>
        </w:rPr>
        <w:t xml:space="preserve">What about household debt </w:t>
      </w:r>
      <w:r w:rsidR="00947B4F" w:rsidRPr="00CB1460">
        <w:rPr>
          <w:rFonts w:asciiTheme="minorHAnsi" w:eastAsia="Times New Roman" w:hAnsiTheme="minorHAnsi"/>
          <w:color w:val="000000"/>
        </w:rPr>
        <w:t xml:space="preserve">payment </w:t>
      </w:r>
      <w:r w:rsidRPr="00CB1460">
        <w:rPr>
          <w:rFonts w:asciiTheme="minorHAnsi" w:eastAsia="Times New Roman" w:hAnsiTheme="minorHAnsi"/>
          <w:color w:val="000000"/>
        </w:rPr>
        <w:t xml:space="preserve">service as a share of </w:t>
      </w:r>
      <w:r w:rsidR="00947B4F" w:rsidRPr="00CB1460">
        <w:rPr>
          <w:rFonts w:asciiTheme="minorHAnsi" w:eastAsia="Times New Roman" w:hAnsiTheme="minorHAnsi"/>
          <w:color w:val="000000"/>
        </w:rPr>
        <w:t>disposable pers</w:t>
      </w:r>
      <w:r w:rsidR="005366B8" w:rsidRPr="00CB1460">
        <w:rPr>
          <w:rFonts w:asciiTheme="minorHAnsi" w:eastAsia="Times New Roman" w:hAnsiTheme="minorHAnsi"/>
          <w:color w:val="000000"/>
        </w:rPr>
        <w:t>onal income? There was</w:t>
      </w:r>
      <w:r w:rsidR="00947B4F" w:rsidRPr="00CB1460">
        <w:rPr>
          <w:rFonts w:asciiTheme="minorHAnsi" w:eastAsia="Times New Roman" w:hAnsiTheme="minorHAnsi"/>
          <w:color w:val="000000"/>
        </w:rPr>
        <w:t xml:space="preserve"> an increase prior to the GR, but nothin</w:t>
      </w:r>
      <w:r w:rsidR="0028443B" w:rsidRPr="00CB1460">
        <w:rPr>
          <w:rFonts w:asciiTheme="minorHAnsi" w:eastAsia="Times New Roman" w:hAnsiTheme="minorHAnsi"/>
          <w:color w:val="000000"/>
        </w:rPr>
        <w:t>g</w:t>
      </w:r>
      <w:r w:rsidR="00166F10" w:rsidRPr="00CB1460">
        <w:rPr>
          <w:rFonts w:asciiTheme="minorHAnsi" w:eastAsia="Times New Roman" w:hAnsiTheme="minorHAnsi"/>
          <w:color w:val="000000"/>
        </w:rPr>
        <w:t xml:space="preserve"> extraordinary. Between Q4 2001 and Q4 2007, the ratio troughed at 12.1 percent in Q2 2004 and peaked in Q4 2007 at 13.2 percent. </w:t>
      </w:r>
      <w:r w:rsidR="003E4928" w:rsidRPr="00CB1460">
        <w:rPr>
          <w:rFonts w:asciiTheme="minorHAnsi" w:eastAsia="Times New Roman" w:hAnsiTheme="minorHAnsi"/>
          <w:color w:val="000000"/>
        </w:rPr>
        <w:t>A 13.2 percent ratio is small and the increase from trough to peak is only 9 percent.</w:t>
      </w:r>
      <w:r w:rsidR="00527B97" w:rsidRPr="00CB1460">
        <w:rPr>
          <w:rStyle w:val="FootnoteReference"/>
          <w:rFonts w:asciiTheme="minorHAnsi" w:eastAsia="Times New Roman" w:hAnsiTheme="minorHAnsi"/>
          <w:color w:val="000000"/>
        </w:rPr>
        <w:footnoteReference w:id="36"/>
      </w:r>
      <w:r w:rsidR="003E4928" w:rsidRPr="00CB1460">
        <w:rPr>
          <w:rFonts w:asciiTheme="minorHAnsi" w:eastAsia="Times New Roman" w:hAnsiTheme="minorHAnsi"/>
          <w:color w:val="000000"/>
        </w:rPr>
        <w:t xml:space="preserve"> </w:t>
      </w:r>
    </w:p>
    <w:p w14:paraId="14DA69C5" w14:textId="77777777" w:rsidR="00540386" w:rsidRPr="00CB1460" w:rsidRDefault="00540386" w:rsidP="00554E0E">
      <w:pPr>
        <w:jc w:val="both"/>
        <w:rPr>
          <w:rFonts w:asciiTheme="minorHAnsi" w:eastAsia="Times New Roman" w:hAnsiTheme="minorHAnsi"/>
          <w:color w:val="000000"/>
        </w:rPr>
      </w:pPr>
    </w:p>
    <w:p w14:paraId="220F2644" w14:textId="7A305686" w:rsidR="001E1222" w:rsidRPr="00CB1460" w:rsidRDefault="00FC1C9B" w:rsidP="00554E0E">
      <w:pPr>
        <w:jc w:val="both"/>
        <w:rPr>
          <w:rFonts w:asciiTheme="minorHAnsi" w:eastAsia="Times New Roman" w:hAnsiTheme="minorHAnsi"/>
          <w:b/>
          <w:color w:val="000000"/>
        </w:rPr>
      </w:pPr>
      <w:r w:rsidRPr="00CB1460">
        <w:rPr>
          <w:rFonts w:asciiTheme="minorHAnsi" w:eastAsia="Times New Roman" w:hAnsiTheme="minorHAnsi"/>
          <w:b/>
          <w:color w:val="000000"/>
        </w:rPr>
        <w:t>Exponential Growth in Trading Activity by Financial Firms</w:t>
      </w:r>
    </w:p>
    <w:p w14:paraId="2402E1A2" w14:textId="77777777" w:rsidR="000E3D42" w:rsidRPr="00CB1460" w:rsidRDefault="009E2042" w:rsidP="00554E0E">
      <w:pPr>
        <w:jc w:val="both"/>
        <w:rPr>
          <w:rFonts w:asciiTheme="minorHAnsi" w:eastAsia="Times New Roman" w:hAnsiTheme="minorHAnsi"/>
          <w:color w:val="000000"/>
        </w:rPr>
      </w:pPr>
      <w:r w:rsidRPr="00CB1460">
        <w:rPr>
          <w:rFonts w:asciiTheme="minorHAnsi" w:eastAsia="Times New Roman" w:hAnsiTheme="minorHAnsi"/>
          <w:color w:val="000000"/>
        </w:rPr>
        <w:t>Here, again, we have a supposed reason for the Great Recession that has no counterpart in economic theory. If Joe and Sally sell the same share of sto</w:t>
      </w:r>
      <w:r w:rsidR="00825899" w:rsidRPr="00CB1460">
        <w:rPr>
          <w:rFonts w:asciiTheme="minorHAnsi" w:eastAsia="Times New Roman" w:hAnsiTheme="minorHAnsi"/>
          <w:color w:val="000000"/>
        </w:rPr>
        <w:t xml:space="preserve">ck back and forth to each </w:t>
      </w:r>
      <w:r w:rsidR="000E3D42" w:rsidRPr="00CB1460">
        <w:rPr>
          <w:rFonts w:asciiTheme="minorHAnsi" w:eastAsia="Times New Roman" w:hAnsiTheme="minorHAnsi"/>
          <w:color w:val="000000"/>
        </w:rPr>
        <w:t xml:space="preserve">other </w:t>
      </w:r>
      <w:r w:rsidRPr="00CB1460">
        <w:rPr>
          <w:rFonts w:asciiTheme="minorHAnsi" w:eastAsia="Times New Roman" w:hAnsiTheme="minorHAnsi"/>
          <w:color w:val="000000"/>
        </w:rPr>
        <w:t>an infinite number of times in</w:t>
      </w:r>
      <w:r w:rsidR="000E3D42" w:rsidRPr="00CB1460">
        <w:rPr>
          <w:rFonts w:asciiTheme="minorHAnsi" w:eastAsia="Times New Roman" w:hAnsiTheme="minorHAnsi"/>
          <w:color w:val="000000"/>
        </w:rPr>
        <w:t xml:space="preserve">, say, a </w:t>
      </w:r>
      <w:r w:rsidRPr="00CB1460">
        <w:rPr>
          <w:rFonts w:asciiTheme="minorHAnsi" w:eastAsia="Times New Roman" w:hAnsiTheme="minorHAnsi"/>
          <w:color w:val="000000"/>
        </w:rPr>
        <w:t xml:space="preserve">second, nothing real </w:t>
      </w:r>
      <w:r w:rsidR="000E3D42" w:rsidRPr="00CB1460">
        <w:rPr>
          <w:rFonts w:asciiTheme="minorHAnsi" w:eastAsia="Times New Roman" w:hAnsiTheme="minorHAnsi"/>
          <w:color w:val="000000"/>
        </w:rPr>
        <w:t>will happen</w:t>
      </w:r>
      <w:r w:rsidRPr="00CB1460">
        <w:rPr>
          <w:rFonts w:asciiTheme="minorHAnsi" w:eastAsia="Times New Roman" w:hAnsiTheme="minorHAnsi"/>
          <w:color w:val="000000"/>
        </w:rPr>
        <w:t xml:space="preserve"> to Joe and Sally or the economy. Both Joe and Sally</w:t>
      </w:r>
      <w:r w:rsidR="000E1F8E" w:rsidRPr="00CB1460">
        <w:rPr>
          <w:rFonts w:asciiTheme="minorHAnsi" w:eastAsia="Times New Roman" w:hAnsiTheme="minorHAnsi"/>
          <w:color w:val="000000"/>
        </w:rPr>
        <w:t>, as well as the economy,</w:t>
      </w:r>
      <w:r w:rsidRPr="00CB1460">
        <w:rPr>
          <w:rFonts w:asciiTheme="minorHAnsi" w:eastAsia="Times New Roman" w:hAnsiTheme="minorHAnsi"/>
          <w:color w:val="000000"/>
        </w:rPr>
        <w:t xml:space="preserve"> </w:t>
      </w:r>
      <w:r w:rsidR="000E1F8E" w:rsidRPr="00CB1460">
        <w:rPr>
          <w:rFonts w:asciiTheme="minorHAnsi" w:eastAsia="Times New Roman" w:hAnsiTheme="minorHAnsi"/>
          <w:color w:val="000000"/>
        </w:rPr>
        <w:t xml:space="preserve">have the same net worth before and after their infinite number of trades. </w:t>
      </w:r>
    </w:p>
    <w:p w14:paraId="3B73D2A2" w14:textId="77777777" w:rsidR="000E3D42" w:rsidRPr="00CB1460" w:rsidRDefault="000E3D42" w:rsidP="00554E0E">
      <w:pPr>
        <w:jc w:val="both"/>
        <w:rPr>
          <w:rFonts w:asciiTheme="minorHAnsi" w:eastAsia="Times New Roman" w:hAnsiTheme="minorHAnsi"/>
          <w:color w:val="000000"/>
        </w:rPr>
      </w:pPr>
    </w:p>
    <w:p w14:paraId="313B97D4" w14:textId="6152C6BD" w:rsidR="000615A9" w:rsidRPr="00CB1460" w:rsidRDefault="000E3D42" w:rsidP="00554E0E">
      <w:pPr>
        <w:jc w:val="both"/>
        <w:rPr>
          <w:rFonts w:asciiTheme="minorHAnsi" w:eastAsia="Times New Roman" w:hAnsiTheme="minorHAnsi"/>
          <w:color w:val="000000"/>
        </w:rPr>
      </w:pPr>
      <w:r w:rsidRPr="00CB1460">
        <w:rPr>
          <w:rFonts w:asciiTheme="minorHAnsi" w:eastAsia="Times New Roman" w:hAnsiTheme="minorHAnsi"/>
          <w:color w:val="000000"/>
        </w:rPr>
        <w:t xml:space="preserve">Hence, the volume of trade, in securities or anything else, is not evidence of an economic problem. One might claim that the volume of trade was coincident with an irrational bubble in financial markets. But the trades being counted are those involving stock and the run up to the great recession did not </w:t>
      </w:r>
      <w:r w:rsidR="00A32071" w:rsidRPr="00CB1460">
        <w:rPr>
          <w:rFonts w:asciiTheme="minorHAnsi" w:eastAsia="Times New Roman" w:hAnsiTheme="minorHAnsi"/>
          <w:color w:val="000000"/>
        </w:rPr>
        <w:t>r</w:t>
      </w:r>
      <w:r w:rsidRPr="00CB1460">
        <w:rPr>
          <w:rFonts w:asciiTheme="minorHAnsi" w:eastAsia="Times New Roman" w:hAnsiTheme="minorHAnsi"/>
          <w:color w:val="000000"/>
        </w:rPr>
        <w:t xml:space="preserve">eflect unprecedentedly high </w:t>
      </w:r>
      <w:r w:rsidR="00A32071" w:rsidRPr="00CB1460">
        <w:rPr>
          <w:rFonts w:asciiTheme="minorHAnsi" w:eastAsia="Times New Roman" w:hAnsiTheme="minorHAnsi"/>
          <w:color w:val="000000"/>
        </w:rPr>
        <w:t>stock-market valuations.</w:t>
      </w:r>
      <w:r w:rsidR="00BC2CDF" w:rsidRPr="00CB1460">
        <w:rPr>
          <w:rStyle w:val="FootnoteReference"/>
          <w:rFonts w:asciiTheme="minorHAnsi" w:eastAsia="Times New Roman" w:hAnsiTheme="minorHAnsi"/>
          <w:color w:val="000000"/>
        </w:rPr>
        <w:footnoteReference w:id="37"/>
      </w:r>
      <w:r w:rsidR="00A32071" w:rsidRPr="00CB1460">
        <w:rPr>
          <w:rFonts w:asciiTheme="minorHAnsi" w:eastAsia="Times New Roman" w:hAnsiTheme="minorHAnsi"/>
          <w:color w:val="000000"/>
        </w:rPr>
        <w:t xml:space="preserve"> </w:t>
      </w:r>
      <w:r w:rsidR="00BC2CDF" w:rsidRPr="00CB1460">
        <w:rPr>
          <w:rFonts w:asciiTheme="minorHAnsi" w:eastAsia="Times New Roman" w:hAnsiTheme="minorHAnsi"/>
          <w:color w:val="000000"/>
        </w:rPr>
        <w:t xml:space="preserve">The market was 1.5 times GDP in 2000, 1.4 times GDP in 2007, and </w:t>
      </w:r>
      <w:r w:rsidR="00A506CB" w:rsidRPr="00CB1460">
        <w:rPr>
          <w:rFonts w:asciiTheme="minorHAnsi" w:eastAsia="Times New Roman" w:hAnsiTheme="minorHAnsi"/>
          <w:color w:val="000000"/>
        </w:rPr>
        <w:t xml:space="preserve">1.5 times GDP in 2017. </w:t>
      </w:r>
      <w:r w:rsidR="009E01B6" w:rsidRPr="00CB1460">
        <w:rPr>
          <w:rFonts w:asciiTheme="minorHAnsi" w:eastAsia="Times New Roman" w:hAnsiTheme="minorHAnsi"/>
          <w:color w:val="000000"/>
        </w:rPr>
        <w:t xml:space="preserve">The stock market is pro-cyclical, but there is nothing in the stock market data that would presage </w:t>
      </w:r>
      <w:r w:rsidR="00371F32" w:rsidRPr="00CB1460">
        <w:rPr>
          <w:rFonts w:asciiTheme="minorHAnsi" w:eastAsia="Times New Roman" w:hAnsiTheme="minorHAnsi"/>
          <w:color w:val="000000"/>
        </w:rPr>
        <w:t>the</w:t>
      </w:r>
      <w:r w:rsidR="00A2425B" w:rsidRPr="00CB1460">
        <w:rPr>
          <w:rFonts w:asciiTheme="minorHAnsi" w:eastAsia="Times New Roman" w:hAnsiTheme="minorHAnsi"/>
          <w:color w:val="000000"/>
        </w:rPr>
        <w:t xml:space="preserve"> supposed greatness of the “Great” Recession</w:t>
      </w:r>
      <w:r w:rsidR="00AB1915" w:rsidRPr="00CB1460">
        <w:rPr>
          <w:rFonts w:asciiTheme="minorHAnsi" w:eastAsia="Times New Roman" w:hAnsiTheme="minorHAnsi"/>
          <w:color w:val="000000"/>
        </w:rPr>
        <w:t xml:space="preserve">. </w:t>
      </w:r>
    </w:p>
    <w:p w14:paraId="2B745DF9" w14:textId="1DAE8B75" w:rsidR="00FC1C9B" w:rsidRPr="00CB1460" w:rsidRDefault="00FC1C9B" w:rsidP="00554E0E">
      <w:pPr>
        <w:jc w:val="both"/>
        <w:rPr>
          <w:rFonts w:asciiTheme="minorHAnsi" w:eastAsia="Times New Roman" w:hAnsiTheme="minorHAnsi"/>
          <w:color w:val="000000"/>
        </w:rPr>
      </w:pPr>
    </w:p>
    <w:p w14:paraId="72B3305B" w14:textId="224E7081" w:rsidR="00256F88" w:rsidRPr="00CB1460" w:rsidRDefault="00256F88" w:rsidP="00554E0E">
      <w:pPr>
        <w:jc w:val="both"/>
        <w:rPr>
          <w:rFonts w:asciiTheme="minorHAnsi" w:eastAsia="Times New Roman" w:hAnsiTheme="minorHAnsi"/>
          <w:b/>
          <w:color w:val="000000"/>
        </w:rPr>
      </w:pPr>
      <w:r w:rsidRPr="00CB1460">
        <w:rPr>
          <w:rFonts w:asciiTheme="minorHAnsi" w:eastAsia="Times New Roman" w:hAnsiTheme="minorHAnsi"/>
          <w:b/>
          <w:color w:val="000000"/>
        </w:rPr>
        <w:t>Unregulated Derivatives and the Repo Market</w:t>
      </w:r>
    </w:p>
    <w:p w14:paraId="4CEB1A69" w14:textId="255EDABC" w:rsidR="008E3DB2" w:rsidRPr="00CB1460" w:rsidRDefault="00C23513" w:rsidP="00554E0E">
      <w:pPr>
        <w:jc w:val="both"/>
        <w:rPr>
          <w:rFonts w:asciiTheme="minorHAnsi" w:eastAsia="Times New Roman" w:hAnsiTheme="minorHAnsi"/>
          <w:color w:val="000000"/>
        </w:rPr>
      </w:pPr>
      <w:r w:rsidRPr="00CB1460">
        <w:rPr>
          <w:rFonts w:asciiTheme="minorHAnsi" w:eastAsia="Times New Roman" w:hAnsiTheme="minorHAnsi"/>
          <w:color w:val="000000"/>
        </w:rPr>
        <w:t xml:space="preserve">The GR was marked by the dissemination of news </w:t>
      </w:r>
      <w:r w:rsidR="00677FCF" w:rsidRPr="00CB1460">
        <w:rPr>
          <w:rFonts w:asciiTheme="minorHAnsi" w:eastAsia="Times New Roman" w:hAnsiTheme="minorHAnsi"/>
          <w:color w:val="000000"/>
        </w:rPr>
        <w:t>about</w:t>
      </w:r>
      <w:r w:rsidR="00853D6B" w:rsidRPr="00CB1460">
        <w:rPr>
          <w:rFonts w:asciiTheme="minorHAnsi" w:eastAsia="Times New Roman" w:hAnsiTheme="minorHAnsi"/>
          <w:color w:val="000000"/>
        </w:rPr>
        <w:t xml:space="preserve"> derivatives with exotic-sounding names,</w:t>
      </w:r>
      <w:r w:rsidRPr="00CB1460">
        <w:rPr>
          <w:rFonts w:asciiTheme="minorHAnsi" w:eastAsia="Times New Roman" w:hAnsiTheme="minorHAnsi"/>
          <w:color w:val="000000"/>
        </w:rPr>
        <w:t xml:space="preserve"> such as </w:t>
      </w:r>
      <w:r w:rsidR="007B688D" w:rsidRPr="00CB1460">
        <w:rPr>
          <w:rFonts w:asciiTheme="minorHAnsi" w:eastAsia="Times New Roman" w:hAnsiTheme="minorHAnsi"/>
          <w:color w:val="000000"/>
        </w:rPr>
        <w:t>RMBS, CDOs,</w:t>
      </w:r>
      <w:r w:rsidR="008B1251">
        <w:rPr>
          <w:rFonts w:asciiTheme="minorHAnsi" w:eastAsia="Times New Roman" w:hAnsiTheme="minorHAnsi"/>
          <w:color w:val="000000"/>
        </w:rPr>
        <w:t xml:space="preserve"> synthetic CDO</w:t>
      </w:r>
      <w:r w:rsidR="006E7CA5">
        <w:rPr>
          <w:rFonts w:asciiTheme="minorHAnsi" w:eastAsia="Times New Roman" w:hAnsiTheme="minorHAnsi"/>
          <w:color w:val="000000"/>
        </w:rPr>
        <w:t>s</w:t>
      </w:r>
      <w:r w:rsidR="008B1251">
        <w:rPr>
          <w:rFonts w:asciiTheme="minorHAnsi" w:eastAsia="Times New Roman" w:hAnsiTheme="minorHAnsi"/>
          <w:color w:val="000000"/>
        </w:rPr>
        <w:t>,</w:t>
      </w:r>
      <w:r w:rsidR="007B688D" w:rsidRPr="00CB1460">
        <w:rPr>
          <w:rFonts w:asciiTheme="minorHAnsi" w:eastAsia="Times New Roman" w:hAnsiTheme="minorHAnsi"/>
          <w:color w:val="000000"/>
        </w:rPr>
        <w:t xml:space="preserve"> </w:t>
      </w:r>
      <w:r w:rsidRPr="00CB1460">
        <w:rPr>
          <w:rFonts w:asciiTheme="minorHAnsi" w:eastAsia="Times New Roman" w:hAnsiTheme="minorHAnsi"/>
          <w:color w:val="000000"/>
        </w:rPr>
        <w:t>CDO squareds</w:t>
      </w:r>
      <w:r w:rsidR="007A39E9" w:rsidRPr="00CB1460">
        <w:rPr>
          <w:rFonts w:asciiTheme="minorHAnsi" w:eastAsia="Times New Roman" w:hAnsiTheme="minorHAnsi"/>
          <w:color w:val="000000"/>
        </w:rPr>
        <w:t xml:space="preserve"> and </w:t>
      </w:r>
      <w:r w:rsidR="007B688D" w:rsidRPr="00CB1460">
        <w:rPr>
          <w:rFonts w:asciiTheme="minorHAnsi" w:eastAsia="Times New Roman" w:hAnsiTheme="minorHAnsi"/>
          <w:color w:val="000000"/>
        </w:rPr>
        <w:t>CDS</w:t>
      </w:r>
      <w:r w:rsidRPr="00CB1460">
        <w:rPr>
          <w:rFonts w:asciiTheme="minorHAnsi" w:eastAsia="Times New Roman" w:hAnsiTheme="minorHAnsi"/>
          <w:color w:val="000000"/>
        </w:rPr>
        <w:t xml:space="preserve">. </w:t>
      </w:r>
      <w:r w:rsidR="00853D6B" w:rsidRPr="00CB1460">
        <w:rPr>
          <w:rFonts w:asciiTheme="minorHAnsi" w:eastAsia="Times New Roman" w:hAnsiTheme="minorHAnsi"/>
          <w:color w:val="000000"/>
        </w:rPr>
        <w:t xml:space="preserve">Because many were complex and not all subject to </w:t>
      </w:r>
      <w:r w:rsidR="00677FCF" w:rsidRPr="00CB1460">
        <w:rPr>
          <w:rFonts w:asciiTheme="minorHAnsi" w:eastAsia="Times New Roman" w:hAnsiTheme="minorHAnsi"/>
          <w:color w:val="000000"/>
        </w:rPr>
        <w:t xml:space="preserve">much </w:t>
      </w:r>
      <w:r w:rsidR="007B688D" w:rsidRPr="00CB1460">
        <w:rPr>
          <w:rFonts w:asciiTheme="minorHAnsi" w:eastAsia="Times New Roman" w:hAnsiTheme="minorHAnsi"/>
          <w:color w:val="000000"/>
        </w:rPr>
        <w:t xml:space="preserve">regulation, they were </w:t>
      </w:r>
      <w:r w:rsidR="008E3DB2" w:rsidRPr="00CB1460">
        <w:rPr>
          <w:rFonts w:asciiTheme="minorHAnsi" w:eastAsia="Times New Roman" w:hAnsiTheme="minorHAnsi"/>
          <w:color w:val="000000"/>
        </w:rPr>
        <w:t xml:space="preserve">singled out repeatedly </w:t>
      </w:r>
      <w:r w:rsidR="004253D2" w:rsidRPr="00CB1460">
        <w:rPr>
          <w:rFonts w:asciiTheme="minorHAnsi" w:eastAsia="Times New Roman" w:hAnsiTheme="minorHAnsi"/>
          <w:color w:val="000000"/>
        </w:rPr>
        <w:t xml:space="preserve">by the press </w:t>
      </w:r>
      <w:r w:rsidR="008E3DB2" w:rsidRPr="00CB1460">
        <w:rPr>
          <w:rFonts w:asciiTheme="minorHAnsi" w:eastAsia="Times New Roman" w:hAnsiTheme="minorHAnsi"/>
          <w:color w:val="000000"/>
        </w:rPr>
        <w:t xml:space="preserve">and commentators during the GR and </w:t>
      </w:r>
      <w:r w:rsidR="007B688D" w:rsidRPr="00CB1460">
        <w:rPr>
          <w:rFonts w:asciiTheme="minorHAnsi" w:eastAsia="Times New Roman" w:hAnsiTheme="minorHAnsi"/>
          <w:color w:val="000000"/>
        </w:rPr>
        <w:t xml:space="preserve">included </w:t>
      </w:r>
      <w:r w:rsidR="00853D6B" w:rsidRPr="00CB1460">
        <w:rPr>
          <w:rFonts w:asciiTheme="minorHAnsi" w:eastAsia="Times New Roman" w:hAnsiTheme="minorHAnsi"/>
          <w:color w:val="000000"/>
        </w:rPr>
        <w:t xml:space="preserve">in the </w:t>
      </w:r>
      <w:r w:rsidR="008E3DB2" w:rsidRPr="00CB1460">
        <w:rPr>
          <w:rFonts w:asciiTheme="minorHAnsi" w:eastAsia="Times New Roman" w:hAnsiTheme="minorHAnsi"/>
          <w:color w:val="000000"/>
        </w:rPr>
        <w:t>FCIC’s</w:t>
      </w:r>
      <w:r w:rsidR="00677FCF" w:rsidRPr="00CB1460">
        <w:rPr>
          <w:rFonts w:asciiTheme="minorHAnsi" w:eastAsia="Times New Roman" w:hAnsiTheme="minorHAnsi"/>
          <w:color w:val="000000"/>
        </w:rPr>
        <w:t xml:space="preserve"> favorite</w:t>
      </w:r>
      <w:r w:rsidR="008E3DB2" w:rsidRPr="00CB1460">
        <w:rPr>
          <w:rFonts w:asciiTheme="minorHAnsi" w:eastAsia="Times New Roman" w:hAnsiTheme="minorHAnsi"/>
          <w:color w:val="000000"/>
        </w:rPr>
        <w:t xml:space="preserve"> </w:t>
      </w:r>
      <w:r w:rsidR="00853D6B" w:rsidRPr="00CB1460">
        <w:rPr>
          <w:rFonts w:asciiTheme="minorHAnsi" w:eastAsia="Times New Roman" w:hAnsiTheme="minorHAnsi"/>
          <w:color w:val="000000"/>
        </w:rPr>
        <w:t xml:space="preserve">list of GR </w:t>
      </w:r>
      <w:r w:rsidR="00A93854" w:rsidRPr="00CB1460">
        <w:rPr>
          <w:rFonts w:asciiTheme="minorHAnsi" w:eastAsia="Times New Roman" w:hAnsiTheme="minorHAnsi"/>
          <w:color w:val="000000"/>
        </w:rPr>
        <w:t>bê</w:t>
      </w:r>
      <w:r w:rsidR="00BC19A2" w:rsidRPr="00CB1460">
        <w:rPr>
          <w:rFonts w:asciiTheme="minorHAnsi" w:eastAsia="Times New Roman" w:hAnsiTheme="minorHAnsi"/>
          <w:color w:val="000000"/>
        </w:rPr>
        <w:t xml:space="preserve">te noires. </w:t>
      </w:r>
    </w:p>
    <w:p w14:paraId="12450026" w14:textId="77777777" w:rsidR="008E3DB2" w:rsidRPr="00CB1460" w:rsidRDefault="008E3DB2" w:rsidP="00554E0E">
      <w:pPr>
        <w:jc w:val="both"/>
        <w:rPr>
          <w:rFonts w:asciiTheme="minorHAnsi" w:eastAsia="Times New Roman" w:hAnsiTheme="minorHAnsi"/>
          <w:color w:val="000000"/>
        </w:rPr>
      </w:pPr>
    </w:p>
    <w:p w14:paraId="7C2372C4" w14:textId="22DACA9D" w:rsidR="008E3DB2" w:rsidRPr="00CB1460" w:rsidRDefault="00BC19A2" w:rsidP="00554E0E">
      <w:pPr>
        <w:jc w:val="both"/>
        <w:rPr>
          <w:rFonts w:asciiTheme="minorHAnsi" w:eastAsia="Times New Roman" w:hAnsiTheme="minorHAnsi"/>
          <w:color w:val="000000"/>
        </w:rPr>
      </w:pPr>
      <w:r w:rsidRPr="00CB1460">
        <w:rPr>
          <w:rFonts w:asciiTheme="minorHAnsi" w:eastAsia="Times New Roman" w:hAnsiTheme="minorHAnsi"/>
          <w:color w:val="000000"/>
        </w:rPr>
        <w:t>If these securities actually helped cause the GR</w:t>
      </w:r>
      <w:r w:rsidR="00E40E59" w:rsidRPr="00CB1460">
        <w:rPr>
          <w:rFonts w:asciiTheme="minorHAnsi" w:eastAsia="Times New Roman" w:hAnsiTheme="minorHAnsi"/>
          <w:color w:val="000000"/>
        </w:rPr>
        <w:t>,</w:t>
      </w:r>
      <w:r w:rsidRPr="00CB1460">
        <w:rPr>
          <w:rFonts w:asciiTheme="minorHAnsi" w:eastAsia="Times New Roman" w:hAnsiTheme="minorHAnsi"/>
          <w:color w:val="000000"/>
        </w:rPr>
        <w:t xml:space="preserve"> one would expect their value to have peaked before, not during the GR. But </w:t>
      </w:r>
      <w:r w:rsidR="00211366" w:rsidRPr="00CB1460">
        <w:rPr>
          <w:rFonts w:asciiTheme="minorHAnsi" w:eastAsia="Times New Roman" w:hAnsiTheme="minorHAnsi"/>
          <w:color w:val="000000"/>
        </w:rPr>
        <w:t>ne</w:t>
      </w:r>
      <w:r w:rsidR="00A71FB7" w:rsidRPr="00CB1460">
        <w:rPr>
          <w:rFonts w:asciiTheme="minorHAnsi" w:eastAsia="Times New Roman" w:hAnsiTheme="minorHAnsi"/>
          <w:color w:val="000000"/>
        </w:rPr>
        <w:t>t financial derivatives were 126 percent</w:t>
      </w:r>
      <w:r w:rsidR="00211366" w:rsidRPr="00CB1460">
        <w:rPr>
          <w:rFonts w:asciiTheme="minorHAnsi" w:eastAsia="Times New Roman" w:hAnsiTheme="minorHAnsi"/>
          <w:color w:val="000000"/>
        </w:rPr>
        <w:t xml:space="preserve"> higher at the end of the GR than at the beginning.</w:t>
      </w:r>
      <w:r w:rsidR="00A71FB7" w:rsidRPr="00CB1460">
        <w:rPr>
          <w:rStyle w:val="FootnoteReference"/>
          <w:rFonts w:asciiTheme="minorHAnsi" w:eastAsia="Times New Roman" w:hAnsiTheme="minorHAnsi"/>
          <w:color w:val="000000"/>
        </w:rPr>
        <w:footnoteReference w:id="38"/>
      </w:r>
      <w:r w:rsidR="00211366" w:rsidRPr="00CB1460">
        <w:rPr>
          <w:rFonts w:asciiTheme="minorHAnsi" w:eastAsia="Times New Roman" w:hAnsiTheme="minorHAnsi"/>
          <w:color w:val="000000"/>
        </w:rPr>
        <w:t xml:space="preserve"> </w:t>
      </w:r>
      <w:r w:rsidR="00A71FB7" w:rsidRPr="00CB1460">
        <w:rPr>
          <w:rFonts w:asciiTheme="minorHAnsi" w:eastAsia="Times New Roman" w:hAnsiTheme="minorHAnsi"/>
          <w:color w:val="000000"/>
        </w:rPr>
        <w:t xml:space="preserve">Furthermore, in the two years leading up to the GR, net financial derivatives rose only 7.7 percent. </w:t>
      </w:r>
    </w:p>
    <w:p w14:paraId="38EE2DEA" w14:textId="77777777" w:rsidR="008E3DB2" w:rsidRPr="00CB1460" w:rsidRDefault="008E3DB2" w:rsidP="00554E0E">
      <w:pPr>
        <w:jc w:val="both"/>
        <w:rPr>
          <w:rFonts w:asciiTheme="minorHAnsi" w:eastAsia="Times New Roman" w:hAnsiTheme="minorHAnsi"/>
          <w:color w:val="000000"/>
        </w:rPr>
      </w:pPr>
    </w:p>
    <w:p w14:paraId="0394A41F" w14:textId="4772A16D" w:rsidR="004A23AA" w:rsidRPr="00CB1460" w:rsidRDefault="00C04690" w:rsidP="00554E0E">
      <w:pPr>
        <w:jc w:val="both"/>
        <w:rPr>
          <w:rFonts w:asciiTheme="minorHAnsi" w:eastAsia="Times New Roman" w:hAnsiTheme="minorHAnsi"/>
          <w:color w:val="000000"/>
        </w:rPr>
      </w:pPr>
      <w:r w:rsidRPr="00CB1460">
        <w:rPr>
          <w:rFonts w:asciiTheme="minorHAnsi" w:eastAsia="Times New Roman" w:hAnsiTheme="minorHAnsi"/>
          <w:color w:val="000000"/>
        </w:rPr>
        <w:t>The reig</w:t>
      </w:r>
      <w:r w:rsidR="008E3DB2" w:rsidRPr="00CB1460">
        <w:rPr>
          <w:rFonts w:asciiTheme="minorHAnsi" w:eastAsia="Times New Roman" w:hAnsiTheme="minorHAnsi"/>
          <w:color w:val="000000"/>
        </w:rPr>
        <w:t xml:space="preserve">ning </w:t>
      </w:r>
      <w:r w:rsidR="00446C5E" w:rsidRPr="00CB1460">
        <w:rPr>
          <w:rFonts w:asciiTheme="minorHAnsi" w:eastAsia="Times New Roman" w:hAnsiTheme="minorHAnsi"/>
          <w:color w:val="000000"/>
        </w:rPr>
        <w:t xml:space="preserve">narrative </w:t>
      </w:r>
      <w:r w:rsidR="00AD1A5D" w:rsidRPr="00CB1460">
        <w:rPr>
          <w:rFonts w:asciiTheme="minorHAnsi" w:eastAsia="Times New Roman" w:hAnsiTheme="minorHAnsi"/>
          <w:color w:val="000000"/>
        </w:rPr>
        <w:t xml:space="preserve">– that derivatives were </w:t>
      </w:r>
      <w:r w:rsidR="00E14E7B" w:rsidRPr="00CB1460">
        <w:rPr>
          <w:rFonts w:asciiTheme="minorHAnsi" w:eastAsia="Times New Roman" w:hAnsiTheme="minorHAnsi"/>
          <w:color w:val="000000"/>
        </w:rPr>
        <w:t xml:space="preserve">misunderstood </w:t>
      </w:r>
      <w:r w:rsidR="00AD1A5D" w:rsidRPr="00CB1460">
        <w:rPr>
          <w:rFonts w:asciiTheme="minorHAnsi" w:eastAsia="Times New Roman" w:hAnsiTheme="minorHAnsi"/>
          <w:color w:val="000000"/>
        </w:rPr>
        <w:t>and over rate</w:t>
      </w:r>
      <w:r w:rsidR="0028356F" w:rsidRPr="00CB1460">
        <w:rPr>
          <w:rFonts w:asciiTheme="minorHAnsi" w:eastAsia="Times New Roman" w:hAnsiTheme="minorHAnsi"/>
          <w:color w:val="000000"/>
        </w:rPr>
        <w:t>d by compliant rating companies – has been questioned in a recent study by economists Juan Ospinal and Harald Uhlig.</w:t>
      </w:r>
      <w:r w:rsidR="0028356F" w:rsidRPr="00CB1460">
        <w:rPr>
          <w:rStyle w:val="FootnoteReference"/>
          <w:rFonts w:asciiTheme="minorHAnsi" w:eastAsia="Times New Roman" w:hAnsiTheme="minorHAnsi"/>
          <w:color w:val="000000"/>
        </w:rPr>
        <w:footnoteReference w:id="39"/>
      </w:r>
      <w:r w:rsidR="0028356F" w:rsidRPr="00CB1460">
        <w:rPr>
          <w:rFonts w:asciiTheme="minorHAnsi" w:eastAsia="Times New Roman" w:hAnsiTheme="minorHAnsi"/>
          <w:color w:val="000000"/>
        </w:rPr>
        <w:t xml:space="preserve"> </w:t>
      </w:r>
      <w:r w:rsidR="008F0A4E" w:rsidRPr="00CB1460">
        <w:rPr>
          <w:rFonts w:asciiTheme="minorHAnsi" w:eastAsia="Times New Roman" w:hAnsiTheme="minorHAnsi"/>
          <w:color w:val="000000"/>
        </w:rPr>
        <w:t>They examined 8,615 residential mortgage-backed securities (RMBS) over the period 2007-2013, almost all of which were rated AAA. T</w:t>
      </w:r>
      <w:r w:rsidR="00E14E7B" w:rsidRPr="00CB1460">
        <w:rPr>
          <w:rFonts w:asciiTheme="minorHAnsi" w:eastAsia="Times New Roman" w:hAnsiTheme="minorHAnsi"/>
          <w:color w:val="000000"/>
        </w:rPr>
        <w:t>hrough 2013, t</w:t>
      </w:r>
      <w:r w:rsidR="002D6E2F" w:rsidRPr="00CB1460">
        <w:rPr>
          <w:rFonts w:asciiTheme="minorHAnsi" w:eastAsia="Times New Roman" w:hAnsiTheme="minorHAnsi"/>
          <w:color w:val="000000"/>
        </w:rPr>
        <w:t>he cumulative loss</w:t>
      </w:r>
      <w:r w:rsidR="008F0A4E" w:rsidRPr="00CB1460">
        <w:rPr>
          <w:rFonts w:asciiTheme="minorHAnsi" w:eastAsia="Times New Roman" w:hAnsiTheme="minorHAnsi"/>
          <w:color w:val="000000"/>
        </w:rPr>
        <w:t xml:space="preserve"> </w:t>
      </w:r>
      <w:r w:rsidR="002D6E2F" w:rsidRPr="00CB1460">
        <w:rPr>
          <w:rFonts w:asciiTheme="minorHAnsi" w:eastAsia="Times New Roman" w:hAnsiTheme="minorHAnsi"/>
          <w:color w:val="000000"/>
        </w:rPr>
        <w:t xml:space="preserve">on these </w:t>
      </w:r>
      <w:r w:rsidR="002D6E2F" w:rsidRPr="00CB1460">
        <w:rPr>
          <w:rFonts w:asciiTheme="minorHAnsi" w:eastAsia="Times New Roman" w:hAnsiTheme="minorHAnsi"/>
          <w:color w:val="000000"/>
        </w:rPr>
        <w:lastRenderedPageBreak/>
        <w:t>“toxic” securities was</w:t>
      </w:r>
      <w:r w:rsidR="00E14E7B" w:rsidRPr="00CB1460">
        <w:rPr>
          <w:rFonts w:asciiTheme="minorHAnsi" w:eastAsia="Times New Roman" w:hAnsiTheme="minorHAnsi"/>
          <w:color w:val="000000"/>
        </w:rPr>
        <w:t xml:space="preserve"> only 2.3 percent. </w:t>
      </w:r>
      <w:r w:rsidR="000A2759" w:rsidRPr="00CB1460">
        <w:rPr>
          <w:rFonts w:asciiTheme="minorHAnsi" w:eastAsia="Times New Roman" w:hAnsiTheme="minorHAnsi"/>
          <w:color w:val="000000"/>
        </w:rPr>
        <w:t xml:space="preserve">Some three quarters of the AAA-rated RMBS had essentially zero losses through 2013. On a principal-weighted basis, the </w:t>
      </w:r>
      <w:r w:rsidR="003E76A2" w:rsidRPr="00CB1460">
        <w:rPr>
          <w:rFonts w:asciiTheme="minorHAnsi" w:eastAsia="Times New Roman" w:hAnsiTheme="minorHAnsi"/>
          <w:color w:val="000000"/>
        </w:rPr>
        <w:t xml:space="preserve">average </w:t>
      </w:r>
      <w:r w:rsidR="000A2759" w:rsidRPr="00CB1460">
        <w:rPr>
          <w:rFonts w:asciiTheme="minorHAnsi" w:eastAsia="Times New Roman" w:hAnsiTheme="minorHAnsi"/>
          <w:color w:val="000000"/>
        </w:rPr>
        <w:t>loss rate w</w:t>
      </w:r>
      <w:r w:rsidR="003E76A2" w:rsidRPr="00CB1460">
        <w:rPr>
          <w:rFonts w:asciiTheme="minorHAnsi" w:eastAsia="Times New Roman" w:hAnsiTheme="minorHAnsi"/>
          <w:color w:val="000000"/>
        </w:rPr>
        <w:t>as only 0.42 percent</w:t>
      </w:r>
      <w:r w:rsidR="000A2759" w:rsidRPr="00CB1460">
        <w:rPr>
          <w:rFonts w:asciiTheme="minorHAnsi" w:eastAsia="Times New Roman" w:hAnsiTheme="minorHAnsi"/>
          <w:color w:val="000000"/>
        </w:rPr>
        <w:t>. Moreover, rating</w:t>
      </w:r>
      <w:r w:rsidR="004A23AA" w:rsidRPr="00CB1460">
        <w:rPr>
          <w:rFonts w:asciiTheme="minorHAnsi" w:eastAsia="Times New Roman" w:hAnsiTheme="minorHAnsi"/>
          <w:color w:val="000000"/>
        </w:rPr>
        <w:t>s</w:t>
      </w:r>
      <w:r w:rsidR="000A2759" w:rsidRPr="00CB1460">
        <w:rPr>
          <w:rFonts w:asciiTheme="minorHAnsi" w:eastAsia="Times New Roman" w:hAnsiTheme="minorHAnsi"/>
          <w:color w:val="000000"/>
        </w:rPr>
        <w:t xml:space="preserve"> did not </w:t>
      </w:r>
      <w:r w:rsidR="004A23AA" w:rsidRPr="00CB1460">
        <w:rPr>
          <w:rFonts w:asciiTheme="minorHAnsi" w:eastAsia="Times New Roman" w:hAnsiTheme="minorHAnsi"/>
          <w:color w:val="000000"/>
        </w:rPr>
        <w:t>worsen</w:t>
      </w:r>
      <w:r w:rsidR="000A2759" w:rsidRPr="00CB1460">
        <w:rPr>
          <w:rFonts w:asciiTheme="minorHAnsi" w:eastAsia="Times New Roman" w:hAnsiTheme="minorHAnsi"/>
          <w:color w:val="000000"/>
        </w:rPr>
        <w:t xml:space="preserve"> closer to the GR. Loss rates for AAA-RMBS issued between 2006 and 2008 were no higher than those </w:t>
      </w:r>
      <w:r w:rsidR="004A23AA" w:rsidRPr="00CB1460">
        <w:rPr>
          <w:rFonts w:asciiTheme="minorHAnsi" w:eastAsia="Times New Roman" w:hAnsiTheme="minorHAnsi"/>
          <w:color w:val="000000"/>
        </w:rPr>
        <w:t>issued in prior years. M</w:t>
      </w:r>
      <w:r w:rsidR="000A2759" w:rsidRPr="00CB1460">
        <w:rPr>
          <w:rFonts w:asciiTheme="minorHAnsi" w:eastAsia="Times New Roman" w:hAnsiTheme="minorHAnsi"/>
          <w:color w:val="000000"/>
        </w:rPr>
        <w:t>ost striking, AAA-rated RMBS actually out preformed the universe of AAA-rated securities.</w:t>
      </w:r>
      <w:r w:rsidR="00BC5010" w:rsidRPr="00CB1460">
        <w:rPr>
          <w:rFonts w:asciiTheme="minorHAnsi" w:eastAsia="Times New Roman" w:hAnsiTheme="minorHAnsi"/>
          <w:color w:val="000000"/>
        </w:rPr>
        <w:t xml:space="preserve"> </w:t>
      </w:r>
    </w:p>
    <w:p w14:paraId="6C298203" w14:textId="77777777" w:rsidR="004A23AA" w:rsidRPr="00CB1460" w:rsidRDefault="004A23AA" w:rsidP="00554E0E">
      <w:pPr>
        <w:jc w:val="both"/>
        <w:rPr>
          <w:rFonts w:asciiTheme="minorHAnsi" w:eastAsia="Times New Roman" w:hAnsiTheme="minorHAnsi"/>
          <w:color w:val="000000"/>
        </w:rPr>
      </w:pPr>
    </w:p>
    <w:p w14:paraId="52E5D2F8" w14:textId="4CB133FB" w:rsidR="00BC5010" w:rsidRPr="00CB1460" w:rsidRDefault="000A2759" w:rsidP="00554E0E">
      <w:pPr>
        <w:jc w:val="both"/>
        <w:rPr>
          <w:rFonts w:asciiTheme="minorHAnsi" w:eastAsia="Times New Roman" w:hAnsiTheme="minorHAnsi" w:cs="Tahoma"/>
          <w:color w:val="000000"/>
        </w:rPr>
      </w:pPr>
      <w:r w:rsidRPr="00CB1460">
        <w:rPr>
          <w:rFonts w:asciiTheme="minorHAnsi" w:eastAsia="Times New Roman" w:hAnsiTheme="minorHAnsi"/>
          <w:color w:val="000000"/>
        </w:rPr>
        <w:t>Yes, losses were far higher for non-AAA rated segments of the RMBS market. But that’</w:t>
      </w:r>
      <w:r w:rsidR="0042211A" w:rsidRPr="00CB1460">
        <w:rPr>
          <w:rFonts w:asciiTheme="minorHAnsi" w:eastAsia="Times New Roman" w:hAnsiTheme="minorHAnsi"/>
          <w:color w:val="000000"/>
        </w:rPr>
        <w:t>s what one would expect from a “g</w:t>
      </w:r>
      <w:r w:rsidRPr="00CB1460">
        <w:rPr>
          <w:rFonts w:asciiTheme="minorHAnsi" w:eastAsia="Times New Roman" w:hAnsiTheme="minorHAnsi"/>
          <w:color w:val="000000"/>
        </w:rPr>
        <w:t xml:space="preserve">reat” recession. However, these securities represented a small fraction of the RMBS market. </w:t>
      </w:r>
      <w:r w:rsidR="00BC5010" w:rsidRPr="00CB1460">
        <w:rPr>
          <w:rFonts w:asciiTheme="minorHAnsi" w:eastAsia="Times New Roman" w:hAnsiTheme="minorHAnsi"/>
          <w:color w:val="000000"/>
        </w:rPr>
        <w:t>In summari</w:t>
      </w:r>
      <w:r w:rsidR="00E153C8" w:rsidRPr="00CB1460">
        <w:rPr>
          <w:rFonts w:asciiTheme="minorHAnsi" w:eastAsia="Times New Roman" w:hAnsiTheme="minorHAnsi"/>
          <w:color w:val="000000"/>
        </w:rPr>
        <w:t>zing their findings, the Ospinal and Uhlig</w:t>
      </w:r>
      <w:r w:rsidR="00BC5010" w:rsidRPr="00CB1460">
        <w:rPr>
          <w:rFonts w:asciiTheme="minorHAnsi" w:eastAsia="Times New Roman" w:hAnsiTheme="minorHAnsi"/>
          <w:color w:val="000000"/>
        </w:rPr>
        <w:t xml:space="preserve"> state, “</w:t>
      </w:r>
      <w:r w:rsidR="00197783" w:rsidRPr="00CB1460">
        <w:rPr>
          <w:rFonts w:asciiTheme="minorHAnsi" w:eastAsia="Times New Roman" w:hAnsiTheme="minorHAnsi" w:cs="Tahoma"/>
          <w:color w:val="000000"/>
        </w:rPr>
        <w:t xml:space="preserve">these facts </w:t>
      </w:r>
      <w:r w:rsidR="00BC5010" w:rsidRPr="00CB1460">
        <w:rPr>
          <w:rFonts w:asciiTheme="minorHAnsi" w:eastAsia="Times New Roman" w:hAnsiTheme="minorHAnsi" w:cs="Tahoma"/>
          <w:color w:val="000000"/>
        </w:rPr>
        <w:t>challenge the conventional narrative, that improper ratings of RMBS were a major factor in the financial crisis of 2008.”</w:t>
      </w:r>
    </w:p>
    <w:p w14:paraId="5E83A5DE" w14:textId="77777777" w:rsidR="002646C9" w:rsidRPr="00CB1460" w:rsidRDefault="002646C9" w:rsidP="00554E0E">
      <w:pPr>
        <w:jc w:val="both"/>
        <w:rPr>
          <w:rFonts w:asciiTheme="minorHAnsi" w:eastAsia="Times New Roman" w:hAnsiTheme="minorHAnsi" w:cs="Tahoma"/>
          <w:color w:val="000000"/>
        </w:rPr>
      </w:pPr>
    </w:p>
    <w:p w14:paraId="7B7F0C43" w14:textId="12FBFC1C" w:rsidR="002646C9" w:rsidRPr="00CB1460" w:rsidRDefault="002646C9" w:rsidP="00554E0E">
      <w:pPr>
        <w:jc w:val="both"/>
        <w:rPr>
          <w:rFonts w:asciiTheme="minorHAnsi" w:eastAsia="Times New Roman" w:hAnsiTheme="minorHAnsi" w:cs="Tahoma"/>
          <w:color w:val="000000"/>
        </w:rPr>
      </w:pPr>
      <w:r w:rsidRPr="00CB1460">
        <w:rPr>
          <w:rFonts w:asciiTheme="minorHAnsi" w:eastAsia="Times New Roman" w:hAnsiTheme="minorHAnsi" w:cs="Tahoma"/>
          <w:color w:val="000000"/>
        </w:rPr>
        <w:t>What about R</w:t>
      </w:r>
      <w:r w:rsidR="004A23AA" w:rsidRPr="00CB1460">
        <w:rPr>
          <w:rFonts w:asciiTheme="minorHAnsi" w:eastAsia="Times New Roman" w:hAnsiTheme="minorHAnsi" w:cs="Tahoma"/>
          <w:color w:val="000000"/>
        </w:rPr>
        <w:t>E</w:t>
      </w:r>
      <w:r w:rsidRPr="00CB1460">
        <w:rPr>
          <w:rFonts w:asciiTheme="minorHAnsi" w:eastAsia="Times New Roman" w:hAnsiTheme="minorHAnsi" w:cs="Tahoma"/>
          <w:color w:val="000000"/>
        </w:rPr>
        <w:t>POs? Did they cause the GR? Well, they certainly increased in the run up to t</w:t>
      </w:r>
      <w:r w:rsidR="004A23AA" w:rsidRPr="00CB1460">
        <w:rPr>
          <w:rFonts w:asciiTheme="minorHAnsi" w:eastAsia="Times New Roman" w:hAnsiTheme="minorHAnsi" w:cs="Tahoma"/>
          <w:color w:val="000000"/>
        </w:rPr>
        <w:t>he GR. But short-term financial-</w:t>
      </w:r>
      <w:r w:rsidRPr="00CB1460">
        <w:rPr>
          <w:rFonts w:asciiTheme="minorHAnsi" w:eastAsia="Times New Roman" w:hAnsiTheme="minorHAnsi" w:cs="Tahoma"/>
          <w:color w:val="000000"/>
        </w:rPr>
        <w:t>company borrowing has been growing far faster than the economy for decades.</w:t>
      </w:r>
      <w:r w:rsidRPr="00CB1460">
        <w:rPr>
          <w:rStyle w:val="FootnoteReference"/>
          <w:rFonts w:asciiTheme="minorHAnsi" w:eastAsia="Times New Roman" w:hAnsiTheme="minorHAnsi" w:cs="Tahoma"/>
          <w:color w:val="000000"/>
        </w:rPr>
        <w:footnoteReference w:id="40"/>
      </w:r>
      <w:r w:rsidRPr="00CB1460">
        <w:rPr>
          <w:rFonts w:asciiTheme="minorHAnsi" w:eastAsia="Times New Roman" w:hAnsiTheme="minorHAnsi" w:cs="Tahoma"/>
          <w:color w:val="000000"/>
        </w:rPr>
        <w:t xml:space="preserve"> </w:t>
      </w:r>
      <w:r w:rsidR="00E41457" w:rsidRPr="00CB1460">
        <w:rPr>
          <w:rFonts w:asciiTheme="minorHAnsi" w:eastAsia="Times New Roman" w:hAnsiTheme="minorHAnsi" w:cs="Tahoma"/>
          <w:color w:val="000000"/>
        </w:rPr>
        <w:t xml:space="preserve">The fact that some economic variable rose rapidly prior to the GR is not evidence that it caused the GR. Smart phone sales </w:t>
      </w:r>
      <w:r w:rsidR="00DC5B07" w:rsidRPr="00CB1460">
        <w:rPr>
          <w:rFonts w:asciiTheme="minorHAnsi" w:eastAsia="Times New Roman" w:hAnsiTheme="minorHAnsi" w:cs="Tahoma"/>
          <w:color w:val="000000"/>
        </w:rPr>
        <w:t>tripled between 2005</w:t>
      </w:r>
      <w:r w:rsidR="00DC5B07" w:rsidRPr="00CB1460">
        <w:rPr>
          <w:rFonts w:asciiTheme="minorHAnsi" w:eastAsia="Times New Roman" w:hAnsiTheme="minorHAnsi" w:cs="Tahoma"/>
          <w:b/>
          <w:color w:val="000000"/>
        </w:rPr>
        <w:t xml:space="preserve"> </w:t>
      </w:r>
      <w:r w:rsidR="00DC5B07" w:rsidRPr="00CB1460">
        <w:rPr>
          <w:rFonts w:asciiTheme="minorHAnsi" w:eastAsia="Times New Roman" w:hAnsiTheme="minorHAnsi" w:cs="Tahoma"/>
          <w:color w:val="000000"/>
        </w:rPr>
        <w:t xml:space="preserve">and 2008, but no one would </w:t>
      </w:r>
      <w:r w:rsidR="0012377D" w:rsidRPr="00CB1460">
        <w:rPr>
          <w:rFonts w:asciiTheme="minorHAnsi" w:eastAsia="Times New Roman" w:hAnsiTheme="minorHAnsi" w:cs="Tahoma"/>
          <w:color w:val="000000"/>
        </w:rPr>
        <w:t>link that</w:t>
      </w:r>
      <w:r w:rsidR="004A23AA" w:rsidRPr="00CB1460">
        <w:rPr>
          <w:rFonts w:asciiTheme="minorHAnsi" w:eastAsia="Times New Roman" w:hAnsiTheme="minorHAnsi" w:cs="Tahoma"/>
          <w:color w:val="000000"/>
        </w:rPr>
        <w:t xml:space="preserve"> to the </w:t>
      </w:r>
      <w:r w:rsidR="00DC5B07" w:rsidRPr="00CB1460">
        <w:rPr>
          <w:rFonts w:asciiTheme="minorHAnsi" w:eastAsia="Times New Roman" w:hAnsiTheme="minorHAnsi" w:cs="Tahoma"/>
          <w:color w:val="000000"/>
        </w:rPr>
        <w:t>GR.</w:t>
      </w:r>
      <w:r w:rsidR="00DC5B07" w:rsidRPr="00CB1460">
        <w:rPr>
          <w:rStyle w:val="FootnoteReference"/>
          <w:rFonts w:asciiTheme="minorHAnsi" w:eastAsia="Times New Roman" w:hAnsiTheme="minorHAnsi" w:cs="Tahoma"/>
          <w:color w:val="000000"/>
        </w:rPr>
        <w:footnoteReference w:id="41"/>
      </w:r>
      <w:r w:rsidR="00B16775" w:rsidRPr="00CB1460">
        <w:rPr>
          <w:rFonts w:asciiTheme="minorHAnsi" w:eastAsia="Times New Roman" w:hAnsiTheme="minorHAnsi" w:cs="Tahoma"/>
          <w:color w:val="000000"/>
        </w:rPr>
        <w:t xml:space="preserve"> Of course, Repos would be impl</w:t>
      </w:r>
      <w:r w:rsidR="00D46356" w:rsidRPr="00CB1460">
        <w:rPr>
          <w:rFonts w:asciiTheme="minorHAnsi" w:eastAsia="Times New Roman" w:hAnsiTheme="minorHAnsi" w:cs="Tahoma"/>
          <w:color w:val="000000"/>
        </w:rPr>
        <w:t>icated in causing the GR</w:t>
      </w:r>
      <w:r w:rsidR="00E62928" w:rsidRPr="00CB1460">
        <w:rPr>
          <w:rFonts w:asciiTheme="minorHAnsi" w:eastAsia="Times New Roman" w:hAnsiTheme="minorHAnsi" w:cs="Tahoma"/>
          <w:color w:val="000000"/>
        </w:rPr>
        <w:t xml:space="preserve"> had they been </w:t>
      </w:r>
      <w:r w:rsidR="00B16775" w:rsidRPr="00CB1460">
        <w:rPr>
          <w:rFonts w:asciiTheme="minorHAnsi" w:eastAsia="Times New Roman" w:hAnsiTheme="minorHAnsi" w:cs="Tahoma"/>
          <w:color w:val="000000"/>
        </w:rPr>
        <w:t xml:space="preserve">part of </w:t>
      </w:r>
      <w:r w:rsidR="00D81BD3" w:rsidRPr="00CB1460">
        <w:rPr>
          <w:rFonts w:asciiTheme="minorHAnsi" w:eastAsia="Times New Roman" w:hAnsiTheme="minorHAnsi" w:cs="Tahoma"/>
          <w:color w:val="000000"/>
        </w:rPr>
        <w:t>excessive leveraging by financial intermediaries. But, as dis</w:t>
      </w:r>
      <w:r w:rsidR="004A23AA" w:rsidRPr="00CB1460">
        <w:rPr>
          <w:rFonts w:asciiTheme="minorHAnsi" w:eastAsia="Times New Roman" w:hAnsiTheme="minorHAnsi" w:cs="Tahoma"/>
          <w:color w:val="000000"/>
        </w:rPr>
        <w:t>cussed above, overall financial-</w:t>
      </w:r>
      <w:r w:rsidR="00D81BD3" w:rsidRPr="00CB1460">
        <w:rPr>
          <w:rFonts w:asciiTheme="minorHAnsi" w:eastAsia="Times New Roman" w:hAnsiTheme="minorHAnsi" w:cs="Tahoma"/>
          <w:color w:val="000000"/>
        </w:rPr>
        <w:t>company le</w:t>
      </w:r>
      <w:r w:rsidR="004A23AA" w:rsidRPr="00CB1460">
        <w:rPr>
          <w:rFonts w:asciiTheme="minorHAnsi" w:eastAsia="Times New Roman" w:hAnsiTheme="minorHAnsi" w:cs="Tahoma"/>
          <w:color w:val="000000"/>
        </w:rPr>
        <w:t>verage fell, not rose prior to</w:t>
      </w:r>
      <w:r w:rsidR="00D81BD3" w:rsidRPr="00CB1460">
        <w:rPr>
          <w:rFonts w:asciiTheme="minorHAnsi" w:eastAsia="Times New Roman" w:hAnsiTheme="minorHAnsi" w:cs="Tahoma"/>
          <w:color w:val="000000"/>
        </w:rPr>
        <w:t xml:space="preserve"> the GR. </w:t>
      </w:r>
    </w:p>
    <w:p w14:paraId="4AF31767" w14:textId="77777777" w:rsidR="001367C3" w:rsidRPr="00CB1460" w:rsidRDefault="001367C3" w:rsidP="00554E0E">
      <w:pPr>
        <w:jc w:val="both"/>
        <w:rPr>
          <w:rFonts w:asciiTheme="minorHAnsi" w:eastAsia="Times New Roman" w:hAnsiTheme="minorHAnsi" w:cs="Tahoma"/>
          <w:color w:val="000000"/>
        </w:rPr>
      </w:pPr>
    </w:p>
    <w:p w14:paraId="23BA4ABE" w14:textId="5FAB4E2C" w:rsidR="001367C3" w:rsidRPr="00CB1460" w:rsidRDefault="001367C3" w:rsidP="001367C3">
      <w:pPr>
        <w:jc w:val="both"/>
        <w:rPr>
          <w:rFonts w:asciiTheme="minorHAnsi" w:eastAsia="Times New Roman" w:hAnsiTheme="minorHAnsi"/>
          <w:b/>
          <w:color w:val="000000"/>
        </w:rPr>
      </w:pPr>
      <w:r w:rsidRPr="00CB1460">
        <w:rPr>
          <w:rFonts w:asciiTheme="minorHAnsi" w:eastAsia="Times New Roman" w:hAnsiTheme="minorHAnsi"/>
          <w:b/>
          <w:color w:val="000000"/>
        </w:rPr>
        <w:t>Investors Mispriced/Ignored Risk</w:t>
      </w:r>
    </w:p>
    <w:p w14:paraId="6AD5B62A" w14:textId="3316F065" w:rsidR="001367C3" w:rsidRPr="00CB1460" w:rsidRDefault="001367C3" w:rsidP="00554E0E">
      <w:pPr>
        <w:jc w:val="both"/>
        <w:rPr>
          <w:rFonts w:asciiTheme="minorHAnsi" w:eastAsia="Times New Roman" w:hAnsiTheme="minorHAnsi" w:cs="Tahoma"/>
          <w:color w:val="000000"/>
        </w:rPr>
      </w:pPr>
      <w:r w:rsidRPr="00CB1460">
        <w:rPr>
          <w:rFonts w:asciiTheme="minorHAnsi" w:eastAsia="Times New Roman" w:hAnsiTheme="minorHAnsi" w:cs="Tahoma"/>
          <w:color w:val="000000"/>
        </w:rPr>
        <w:t xml:space="preserve">The </w:t>
      </w:r>
      <w:r w:rsidRPr="00CB1460">
        <w:rPr>
          <w:rFonts w:asciiTheme="minorHAnsi" w:eastAsia="Times New Roman" w:hAnsiTheme="minorHAnsi"/>
          <w:color w:val="000000"/>
        </w:rPr>
        <w:t>Ospinal and Uhlig pap</w:t>
      </w:r>
      <w:r w:rsidR="005366B8" w:rsidRPr="00CB1460">
        <w:rPr>
          <w:rFonts w:asciiTheme="minorHAnsi" w:eastAsia="Times New Roman" w:hAnsiTheme="minorHAnsi"/>
          <w:color w:val="000000"/>
        </w:rPr>
        <w:t>er also speaks to the assertion</w:t>
      </w:r>
      <w:r w:rsidRPr="00CB1460">
        <w:rPr>
          <w:rFonts w:asciiTheme="minorHAnsi" w:eastAsia="Times New Roman" w:hAnsiTheme="minorHAnsi"/>
          <w:color w:val="000000"/>
        </w:rPr>
        <w:t xml:space="preserve"> that Wall Street professionals </w:t>
      </w:r>
      <w:r w:rsidR="00AB1684" w:rsidRPr="00CB1460">
        <w:rPr>
          <w:rFonts w:asciiTheme="minorHAnsi" w:eastAsia="Times New Roman" w:hAnsiTheme="minorHAnsi"/>
          <w:color w:val="000000"/>
        </w:rPr>
        <w:t xml:space="preserve">acted like rank amateurs in the supposed financial lending euphoria leading up to the GR. </w:t>
      </w:r>
      <w:r w:rsidR="00B112F7" w:rsidRPr="00CB1460">
        <w:rPr>
          <w:rFonts w:asciiTheme="minorHAnsi" w:eastAsia="Times New Roman" w:hAnsiTheme="minorHAnsi"/>
          <w:color w:val="000000"/>
        </w:rPr>
        <w:t>Had that been the case, the RMBS assets would not have done so well despite the outsized recessi</w:t>
      </w:r>
      <w:r w:rsidR="004047FC" w:rsidRPr="00CB1460">
        <w:rPr>
          <w:rFonts w:asciiTheme="minorHAnsi" w:eastAsia="Times New Roman" w:hAnsiTheme="minorHAnsi"/>
          <w:color w:val="000000"/>
        </w:rPr>
        <w:t xml:space="preserve">on and major reduction in </w:t>
      </w:r>
      <w:r w:rsidR="00B112F7" w:rsidRPr="00CB1460">
        <w:rPr>
          <w:rFonts w:asciiTheme="minorHAnsi" w:eastAsia="Times New Roman" w:hAnsiTheme="minorHAnsi"/>
          <w:color w:val="000000"/>
        </w:rPr>
        <w:t xml:space="preserve">housing prices </w:t>
      </w:r>
      <w:r w:rsidR="004047FC" w:rsidRPr="00CB1460">
        <w:rPr>
          <w:rFonts w:asciiTheme="minorHAnsi" w:eastAsia="Times New Roman" w:hAnsiTheme="minorHAnsi"/>
          <w:color w:val="000000"/>
        </w:rPr>
        <w:t xml:space="preserve">starting in 2006. </w:t>
      </w:r>
      <w:r w:rsidR="005366B8" w:rsidRPr="00CB1460">
        <w:rPr>
          <w:rFonts w:asciiTheme="minorHAnsi" w:eastAsia="Times New Roman" w:hAnsiTheme="minorHAnsi"/>
          <w:color w:val="000000"/>
        </w:rPr>
        <w:t>As</w:t>
      </w:r>
      <w:r w:rsidR="00757D5B" w:rsidRPr="00CB1460">
        <w:rPr>
          <w:rFonts w:asciiTheme="minorHAnsi" w:eastAsia="Times New Roman" w:hAnsiTheme="minorHAnsi"/>
          <w:color w:val="000000"/>
        </w:rPr>
        <w:t xml:space="preserve"> Lo </w:t>
      </w:r>
      <w:r w:rsidR="005366B8" w:rsidRPr="00CB1460">
        <w:rPr>
          <w:rFonts w:asciiTheme="minorHAnsi" w:eastAsia="Times New Roman" w:hAnsiTheme="minorHAnsi"/>
          <w:color w:val="000000"/>
        </w:rPr>
        <w:t xml:space="preserve">(2012) </w:t>
      </w:r>
      <w:r w:rsidR="00757D5B" w:rsidRPr="00CB1460">
        <w:rPr>
          <w:rFonts w:asciiTheme="minorHAnsi" w:eastAsia="Times New Roman" w:hAnsiTheme="minorHAnsi"/>
          <w:color w:val="000000"/>
        </w:rPr>
        <w:t xml:space="preserve">points out, in 2007, CDOs paid significantly higher returns than equally-rated corporate bonds due to their extra risk. </w:t>
      </w:r>
    </w:p>
    <w:p w14:paraId="346F03BA" w14:textId="77777777" w:rsidR="00A72697" w:rsidRPr="00CB1460" w:rsidRDefault="00A72697" w:rsidP="00554E0E">
      <w:pPr>
        <w:jc w:val="both"/>
        <w:rPr>
          <w:rFonts w:asciiTheme="minorHAnsi" w:eastAsia="Times New Roman" w:hAnsiTheme="minorHAnsi" w:cs="Tahoma"/>
          <w:color w:val="000000"/>
        </w:rPr>
      </w:pPr>
    </w:p>
    <w:p w14:paraId="6145633F" w14:textId="25CD6232" w:rsidR="00A72697" w:rsidRPr="00CB1460" w:rsidRDefault="00A72697" w:rsidP="00554E0E">
      <w:pPr>
        <w:jc w:val="both"/>
        <w:rPr>
          <w:rFonts w:asciiTheme="minorHAnsi" w:eastAsia="Times New Roman" w:hAnsiTheme="minorHAnsi" w:cs="Tahoma"/>
          <w:b/>
          <w:color w:val="000000"/>
        </w:rPr>
      </w:pPr>
      <w:r w:rsidRPr="00CB1460">
        <w:rPr>
          <w:rFonts w:asciiTheme="minorHAnsi" w:eastAsia="Times New Roman" w:hAnsiTheme="minorHAnsi" w:cs="Tahoma"/>
          <w:b/>
          <w:color w:val="000000"/>
        </w:rPr>
        <w:t>Unaligned CEO Incentives</w:t>
      </w:r>
    </w:p>
    <w:p w14:paraId="3126F3BA" w14:textId="089B2E17" w:rsidR="005A6057" w:rsidRPr="00CB1460" w:rsidRDefault="005A6057" w:rsidP="00554E0E">
      <w:pPr>
        <w:jc w:val="both"/>
        <w:rPr>
          <w:rFonts w:asciiTheme="minorHAnsi" w:eastAsia="Times New Roman" w:hAnsiTheme="minorHAnsi" w:cs="Tahoma"/>
          <w:color w:val="000000"/>
        </w:rPr>
      </w:pPr>
      <w:r w:rsidRPr="00CB1460">
        <w:rPr>
          <w:rFonts w:asciiTheme="minorHAnsi" w:eastAsia="Times New Roman" w:hAnsiTheme="minorHAnsi" w:cs="Tahoma"/>
          <w:color w:val="000000"/>
        </w:rPr>
        <w:t>Yet another explanation for the GR is that CEOs of financ</w:t>
      </w:r>
      <w:r w:rsidR="00DE2F29" w:rsidRPr="00CB1460">
        <w:rPr>
          <w:rFonts w:asciiTheme="minorHAnsi" w:eastAsia="Times New Roman" w:hAnsiTheme="minorHAnsi" w:cs="Tahoma"/>
          <w:color w:val="000000"/>
        </w:rPr>
        <w:t>ial institutions had too little “</w:t>
      </w:r>
      <w:r w:rsidRPr="00CB1460">
        <w:rPr>
          <w:rFonts w:asciiTheme="minorHAnsi" w:eastAsia="Times New Roman" w:hAnsiTheme="minorHAnsi" w:cs="Tahoma"/>
          <w:color w:val="000000"/>
        </w:rPr>
        <w:t>skin in the game.</w:t>
      </w:r>
      <w:r w:rsidR="00C9366B" w:rsidRPr="00CB1460">
        <w:rPr>
          <w:rFonts w:asciiTheme="minorHAnsi" w:eastAsia="Times New Roman" w:hAnsiTheme="minorHAnsi" w:cs="Tahoma"/>
          <w:color w:val="000000"/>
        </w:rPr>
        <w:t>”</w:t>
      </w:r>
      <w:r w:rsidRPr="00CB1460">
        <w:rPr>
          <w:rFonts w:asciiTheme="minorHAnsi" w:eastAsia="Times New Roman" w:hAnsiTheme="minorHAnsi" w:cs="Tahoma"/>
          <w:color w:val="000000"/>
        </w:rPr>
        <w:t xml:space="preserve"> Jimmy Cayne, former head of Bears Stern</w:t>
      </w:r>
      <w:r w:rsidR="00E6145F" w:rsidRPr="00CB1460">
        <w:rPr>
          <w:rFonts w:asciiTheme="minorHAnsi" w:eastAsia="Times New Roman" w:hAnsiTheme="minorHAnsi" w:cs="Tahoma"/>
          <w:color w:val="000000"/>
        </w:rPr>
        <w:t>,</w:t>
      </w:r>
      <w:r w:rsidRPr="00CB1460">
        <w:rPr>
          <w:rFonts w:asciiTheme="minorHAnsi" w:eastAsia="Times New Roman" w:hAnsiTheme="minorHAnsi" w:cs="Tahoma"/>
          <w:color w:val="000000"/>
        </w:rPr>
        <w:t xml:space="preserve"> </w:t>
      </w:r>
      <w:r w:rsidR="00C9366B" w:rsidRPr="00CB1460">
        <w:rPr>
          <w:rFonts w:asciiTheme="minorHAnsi" w:eastAsia="Times New Roman" w:hAnsiTheme="minorHAnsi" w:cs="Tahoma"/>
          <w:color w:val="000000"/>
        </w:rPr>
        <w:t xml:space="preserve">would surely disagree. Cayne </w:t>
      </w:r>
      <w:r w:rsidRPr="00CB1460">
        <w:rPr>
          <w:rFonts w:asciiTheme="minorHAnsi" w:eastAsia="Times New Roman" w:hAnsiTheme="minorHAnsi" w:cs="Tahoma"/>
          <w:color w:val="000000"/>
        </w:rPr>
        <w:t>lost close to $1 billion as his bank collapsed</w:t>
      </w:r>
      <w:r w:rsidR="00D53B09" w:rsidRPr="00CB1460">
        <w:rPr>
          <w:rFonts w:asciiTheme="minorHAnsi" w:eastAsia="Times New Roman" w:hAnsiTheme="minorHAnsi" w:cs="Tahoma"/>
          <w:color w:val="000000"/>
        </w:rPr>
        <w:t xml:space="preserve">. </w:t>
      </w:r>
      <w:r w:rsidR="00E6145F" w:rsidRPr="00CB1460">
        <w:rPr>
          <w:rFonts w:asciiTheme="minorHAnsi" w:eastAsia="Times New Roman" w:hAnsiTheme="minorHAnsi" w:cs="Tahoma"/>
          <w:color w:val="000000"/>
        </w:rPr>
        <w:t>Ken Lewis,</w:t>
      </w:r>
      <w:r w:rsidR="00D53B09" w:rsidRPr="00CB1460">
        <w:rPr>
          <w:rFonts w:asciiTheme="minorHAnsi" w:eastAsia="Times New Roman" w:hAnsiTheme="minorHAnsi" w:cs="Tahoma"/>
          <w:color w:val="000000"/>
        </w:rPr>
        <w:t xml:space="preserve"> CEO of the Bank of America,</w:t>
      </w:r>
      <w:r w:rsidR="00E6145F" w:rsidRPr="00CB1460">
        <w:rPr>
          <w:rFonts w:asciiTheme="minorHAnsi" w:eastAsia="Times New Roman" w:hAnsiTheme="minorHAnsi" w:cs="Tahoma"/>
          <w:color w:val="000000"/>
        </w:rPr>
        <w:t xml:space="preserve"> had $190 million to lose by making wrong decisions and succeeded in losing </w:t>
      </w:r>
      <w:r w:rsidR="00FA7834" w:rsidRPr="00CB1460">
        <w:rPr>
          <w:rFonts w:asciiTheme="minorHAnsi" w:eastAsia="Times New Roman" w:hAnsiTheme="minorHAnsi" w:cs="Tahoma"/>
          <w:color w:val="000000"/>
        </w:rPr>
        <w:t>$142 million</w:t>
      </w:r>
      <w:r w:rsidR="00D53B09" w:rsidRPr="00CB1460">
        <w:rPr>
          <w:rFonts w:asciiTheme="minorHAnsi" w:eastAsia="Times New Roman" w:hAnsiTheme="minorHAnsi" w:cs="Tahoma"/>
          <w:color w:val="000000"/>
        </w:rPr>
        <w:t>.</w:t>
      </w:r>
      <w:r w:rsidR="00A343D7" w:rsidRPr="00CB1460">
        <w:rPr>
          <w:rFonts w:asciiTheme="minorHAnsi" w:eastAsia="Times New Roman" w:hAnsiTheme="minorHAnsi" w:cs="Tahoma"/>
          <w:color w:val="000000"/>
        </w:rPr>
        <w:t xml:space="preserve"> Lehman</w:t>
      </w:r>
      <w:r w:rsidR="00036864" w:rsidRPr="00CB1460">
        <w:rPr>
          <w:rFonts w:asciiTheme="minorHAnsi" w:eastAsia="Times New Roman" w:hAnsiTheme="minorHAnsi" w:cs="Tahoma"/>
          <w:color w:val="000000"/>
        </w:rPr>
        <w:t xml:space="preserve"> Brothers</w:t>
      </w:r>
      <w:r w:rsidR="00F14A17" w:rsidRPr="00CB1460">
        <w:rPr>
          <w:rFonts w:asciiTheme="minorHAnsi" w:eastAsia="Times New Roman" w:hAnsiTheme="minorHAnsi" w:cs="Tahoma"/>
          <w:color w:val="000000"/>
        </w:rPr>
        <w:t>’ Dick Fuld</w:t>
      </w:r>
      <w:r w:rsidR="00A343D7" w:rsidRPr="00CB1460">
        <w:rPr>
          <w:rFonts w:asciiTheme="minorHAnsi" w:eastAsia="Times New Roman" w:hAnsiTheme="minorHAnsi" w:cs="Tahoma"/>
          <w:color w:val="000000"/>
        </w:rPr>
        <w:t xml:space="preserve"> received most of his </w:t>
      </w:r>
      <w:r w:rsidR="00F14A17" w:rsidRPr="00CB1460">
        <w:rPr>
          <w:rFonts w:asciiTheme="minorHAnsi" w:eastAsia="Times New Roman" w:hAnsiTheme="minorHAnsi" w:cs="Tahoma"/>
          <w:color w:val="000000"/>
        </w:rPr>
        <w:t xml:space="preserve">2007 </w:t>
      </w:r>
      <w:r w:rsidR="00A343D7" w:rsidRPr="00CB1460">
        <w:rPr>
          <w:rFonts w:asciiTheme="minorHAnsi" w:eastAsia="Times New Roman" w:hAnsiTheme="minorHAnsi" w:cs="Tahoma"/>
          <w:color w:val="000000"/>
        </w:rPr>
        <w:t>compensation in</w:t>
      </w:r>
      <w:r w:rsidR="00F14A17" w:rsidRPr="00CB1460">
        <w:rPr>
          <w:rFonts w:asciiTheme="minorHAnsi" w:eastAsia="Times New Roman" w:hAnsiTheme="minorHAnsi" w:cs="Tahoma"/>
          <w:color w:val="000000"/>
        </w:rPr>
        <w:t xml:space="preserve"> the form of</w:t>
      </w:r>
      <w:r w:rsidR="00A343D7" w:rsidRPr="00CB1460">
        <w:rPr>
          <w:rFonts w:asciiTheme="minorHAnsi" w:eastAsia="Times New Roman" w:hAnsiTheme="minorHAnsi" w:cs="Tahoma"/>
          <w:color w:val="000000"/>
        </w:rPr>
        <w:t xml:space="preserve"> Lehman Bro</w:t>
      </w:r>
      <w:r w:rsidR="00036864" w:rsidRPr="00CB1460">
        <w:rPr>
          <w:rFonts w:asciiTheme="minorHAnsi" w:eastAsia="Times New Roman" w:hAnsiTheme="minorHAnsi" w:cs="Tahoma"/>
          <w:color w:val="000000"/>
        </w:rPr>
        <w:t>thers’ stock</w:t>
      </w:r>
      <w:r w:rsidRPr="00CB1460">
        <w:rPr>
          <w:rFonts w:asciiTheme="minorHAnsi" w:eastAsia="Times New Roman" w:hAnsiTheme="minorHAnsi" w:cs="Tahoma"/>
          <w:color w:val="000000"/>
        </w:rPr>
        <w:t>.</w:t>
      </w:r>
      <w:r w:rsidRPr="00CB1460">
        <w:rPr>
          <w:rStyle w:val="FootnoteReference"/>
          <w:rFonts w:asciiTheme="minorHAnsi" w:eastAsia="Times New Roman" w:hAnsiTheme="minorHAnsi" w:cs="Tahoma"/>
          <w:color w:val="000000"/>
        </w:rPr>
        <w:footnoteReference w:id="42"/>
      </w:r>
      <w:r w:rsidRPr="00CB1460">
        <w:rPr>
          <w:rFonts w:asciiTheme="minorHAnsi" w:eastAsia="Times New Roman" w:hAnsiTheme="minorHAnsi" w:cs="Tahoma"/>
          <w:color w:val="000000"/>
        </w:rPr>
        <w:t xml:space="preserve"> </w:t>
      </w:r>
      <w:r w:rsidR="005F2E47" w:rsidRPr="00CB1460">
        <w:rPr>
          <w:rFonts w:asciiTheme="minorHAnsi" w:eastAsia="Times New Roman" w:hAnsiTheme="minorHAnsi" w:cs="Tahoma"/>
          <w:color w:val="000000"/>
        </w:rPr>
        <w:t>Or consider the 2011 study by economists</w:t>
      </w:r>
      <w:r w:rsidR="002116E0" w:rsidRPr="00CB1460">
        <w:rPr>
          <w:rFonts w:asciiTheme="minorHAnsi" w:eastAsia="Times New Roman" w:hAnsiTheme="minorHAnsi" w:cs="Tahoma"/>
          <w:color w:val="000000"/>
        </w:rPr>
        <w:t>, Rü</w:t>
      </w:r>
      <w:r w:rsidR="001D1F2E" w:rsidRPr="00CB1460">
        <w:rPr>
          <w:rFonts w:asciiTheme="minorHAnsi" w:eastAsia="Times New Roman" w:hAnsiTheme="minorHAnsi" w:cs="Tahoma"/>
          <w:color w:val="000000"/>
        </w:rPr>
        <w:t>diger</w:t>
      </w:r>
      <w:r w:rsidR="002116E0" w:rsidRPr="00CB1460">
        <w:rPr>
          <w:rFonts w:asciiTheme="minorHAnsi" w:eastAsia="Times New Roman" w:hAnsiTheme="minorHAnsi" w:cs="Tahoma"/>
          <w:color w:val="000000"/>
        </w:rPr>
        <w:t xml:space="preserve"> </w:t>
      </w:r>
      <w:r w:rsidR="002116E0" w:rsidRPr="00CB1460">
        <w:rPr>
          <w:rFonts w:asciiTheme="minorHAnsi" w:eastAsia="Times New Roman" w:hAnsiTheme="minorHAnsi" w:cs="Arial"/>
          <w:color w:val="222222"/>
          <w:shd w:val="clear" w:color="auto" w:fill="FFFFFF"/>
        </w:rPr>
        <w:t>Fahlenbrach and René M. Stulz</w:t>
      </w:r>
      <w:r w:rsidR="001D1F2E" w:rsidRPr="00CB1460">
        <w:rPr>
          <w:rFonts w:asciiTheme="minorHAnsi" w:eastAsia="Times New Roman" w:hAnsiTheme="minorHAnsi" w:cs="Tahoma"/>
          <w:color w:val="000000"/>
        </w:rPr>
        <w:t>, who examined execu</w:t>
      </w:r>
      <w:r w:rsidR="007D6A86" w:rsidRPr="00CB1460">
        <w:rPr>
          <w:rFonts w:asciiTheme="minorHAnsi" w:eastAsia="Times New Roman" w:hAnsiTheme="minorHAnsi" w:cs="Tahoma"/>
          <w:color w:val="000000"/>
        </w:rPr>
        <w:t xml:space="preserve">tive compensation contracts of </w:t>
      </w:r>
      <w:r w:rsidR="001D1F2E" w:rsidRPr="00CB1460">
        <w:rPr>
          <w:rFonts w:asciiTheme="minorHAnsi" w:eastAsia="Times New Roman" w:hAnsiTheme="minorHAnsi" w:cs="Tahoma"/>
          <w:color w:val="000000"/>
        </w:rPr>
        <w:t>95 banks. The stock and option compensation in these contracts exceeds wages by a factor of eight.</w:t>
      </w:r>
      <w:r w:rsidR="005F2E47" w:rsidRPr="00CB1460">
        <w:rPr>
          <w:rStyle w:val="FootnoteReference"/>
          <w:rFonts w:asciiTheme="minorHAnsi" w:eastAsia="Times New Roman" w:hAnsiTheme="minorHAnsi" w:cs="Tahoma"/>
          <w:color w:val="000000"/>
        </w:rPr>
        <w:footnoteReference w:id="43"/>
      </w:r>
      <w:r w:rsidR="001D1F2E" w:rsidRPr="00CB1460">
        <w:rPr>
          <w:rFonts w:asciiTheme="minorHAnsi" w:eastAsia="Times New Roman" w:hAnsiTheme="minorHAnsi" w:cs="Tahoma"/>
          <w:color w:val="000000"/>
        </w:rPr>
        <w:t xml:space="preserve"> </w:t>
      </w:r>
      <w:r w:rsidR="00036864" w:rsidRPr="00CB1460">
        <w:rPr>
          <w:rFonts w:asciiTheme="minorHAnsi" w:eastAsia="Times New Roman" w:hAnsiTheme="minorHAnsi" w:cs="Tahoma"/>
          <w:color w:val="000000"/>
        </w:rPr>
        <w:t>In short, there is no persuasive evidence that shadow or conventional bank</w:t>
      </w:r>
      <w:r w:rsidR="00472510" w:rsidRPr="00CB1460">
        <w:rPr>
          <w:rFonts w:asciiTheme="minorHAnsi" w:eastAsia="Times New Roman" w:hAnsiTheme="minorHAnsi" w:cs="Tahoma"/>
          <w:color w:val="000000"/>
        </w:rPr>
        <w:t>er</w:t>
      </w:r>
      <w:r w:rsidR="00036864" w:rsidRPr="00CB1460">
        <w:rPr>
          <w:rFonts w:asciiTheme="minorHAnsi" w:eastAsia="Times New Roman" w:hAnsiTheme="minorHAnsi" w:cs="Tahoma"/>
          <w:color w:val="000000"/>
        </w:rPr>
        <w:t xml:space="preserve">s had too little skin the game. </w:t>
      </w:r>
    </w:p>
    <w:p w14:paraId="6857BD01" w14:textId="77777777" w:rsidR="00036864" w:rsidRPr="00CB1460" w:rsidRDefault="00036864" w:rsidP="00554E0E">
      <w:pPr>
        <w:jc w:val="both"/>
        <w:rPr>
          <w:rFonts w:asciiTheme="minorHAnsi" w:eastAsia="Times New Roman" w:hAnsiTheme="minorHAnsi" w:cs="Tahoma"/>
          <w:color w:val="000000"/>
        </w:rPr>
      </w:pPr>
    </w:p>
    <w:p w14:paraId="4161ED86" w14:textId="20774C37" w:rsidR="00C676F7" w:rsidRPr="00CB1460" w:rsidRDefault="00F56D18" w:rsidP="00554E0E">
      <w:pPr>
        <w:jc w:val="both"/>
        <w:rPr>
          <w:rFonts w:asciiTheme="minorHAnsi" w:eastAsia="Times New Roman" w:hAnsiTheme="minorHAnsi" w:cs="Tahoma"/>
          <w:b/>
          <w:color w:val="000000"/>
        </w:rPr>
      </w:pPr>
      <w:r w:rsidRPr="00CB1460">
        <w:rPr>
          <w:rFonts w:asciiTheme="minorHAnsi" w:eastAsia="Times New Roman" w:hAnsiTheme="minorHAnsi" w:cs="Tahoma"/>
          <w:b/>
          <w:color w:val="000000"/>
        </w:rPr>
        <w:t>Regulatory Capture</w:t>
      </w:r>
    </w:p>
    <w:p w14:paraId="08FAACBA" w14:textId="034E584F" w:rsidR="00036864" w:rsidRPr="00CB1460" w:rsidRDefault="00F56D18" w:rsidP="00554E0E">
      <w:pPr>
        <w:jc w:val="both"/>
        <w:rPr>
          <w:rFonts w:asciiTheme="minorHAnsi" w:eastAsia="Times New Roman" w:hAnsiTheme="minorHAnsi" w:cs="Tahoma"/>
          <w:color w:val="000000"/>
        </w:rPr>
      </w:pPr>
      <w:r w:rsidRPr="00CB1460">
        <w:rPr>
          <w:rFonts w:asciiTheme="minorHAnsi" w:eastAsia="Times New Roman" w:hAnsiTheme="minorHAnsi" w:cs="Tahoma"/>
          <w:color w:val="000000"/>
        </w:rPr>
        <w:t xml:space="preserve">This phrase points to regulators being in the future pay of Wall Street thanks to the revolving door between Wall Street and Pennsylvania Avenue. Yet the biggest factor that regulators needed to oversee was Wall Street’s leverage. As discussed, it was not historically high proceeding the GR either across the board or in the large investment banks that failed. One could well argue that it was always too high, but that doesn’t help us explain the GR. </w:t>
      </w:r>
    </w:p>
    <w:p w14:paraId="6618C239" w14:textId="77777777" w:rsidR="00825645" w:rsidRPr="00CB1460" w:rsidRDefault="00825645" w:rsidP="00554E0E">
      <w:pPr>
        <w:jc w:val="both"/>
        <w:rPr>
          <w:rFonts w:asciiTheme="minorHAnsi" w:eastAsia="Times New Roman" w:hAnsiTheme="minorHAnsi" w:cs="Tahoma"/>
          <w:color w:val="000000"/>
        </w:rPr>
      </w:pPr>
    </w:p>
    <w:p w14:paraId="5EDFE00B" w14:textId="7EDBEA9B" w:rsidR="00825645" w:rsidRPr="00CB1460" w:rsidRDefault="00825645" w:rsidP="00554E0E">
      <w:pPr>
        <w:jc w:val="both"/>
        <w:rPr>
          <w:rFonts w:asciiTheme="minorHAnsi" w:eastAsia="Times New Roman" w:hAnsiTheme="minorHAnsi" w:cs="Tahoma"/>
          <w:b/>
          <w:color w:val="000000"/>
        </w:rPr>
      </w:pPr>
      <w:r w:rsidRPr="00CB1460">
        <w:rPr>
          <w:rFonts w:asciiTheme="minorHAnsi" w:eastAsia="Times New Roman" w:hAnsiTheme="minorHAnsi" w:cs="Tahoma"/>
          <w:b/>
          <w:color w:val="000000"/>
        </w:rPr>
        <w:t>Democratization of Finance</w:t>
      </w:r>
    </w:p>
    <w:p w14:paraId="4DA2EFF2" w14:textId="0A110042" w:rsidR="00825645" w:rsidRPr="00CB1460" w:rsidRDefault="00825645" w:rsidP="00554E0E">
      <w:pPr>
        <w:jc w:val="both"/>
        <w:rPr>
          <w:rFonts w:asciiTheme="minorHAnsi" w:eastAsia="Times New Roman" w:hAnsiTheme="minorHAnsi" w:cs="Tahoma"/>
          <w:color w:val="000000"/>
        </w:rPr>
      </w:pPr>
      <w:r w:rsidRPr="00CB1460">
        <w:rPr>
          <w:rFonts w:asciiTheme="minorHAnsi" w:eastAsia="Times New Roman" w:hAnsiTheme="minorHAnsi" w:cs="Tahoma"/>
          <w:color w:val="000000"/>
        </w:rPr>
        <w:t xml:space="preserve">Under this theory, </w:t>
      </w:r>
      <w:r w:rsidR="001768E6" w:rsidRPr="00CB1460">
        <w:rPr>
          <w:rFonts w:asciiTheme="minorHAnsi" w:eastAsia="Times New Roman" w:hAnsiTheme="minorHAnsi" w:cs="Tahoma"/>
          <w:color w:val="000000"/>
        </w:rPr>
        <w:t xml:space="preserve">government </w:t>
      </w:r>
      <w:r w:rsidR="00C70196" w:rsidRPr="00CB1460">
        <w:rPr>
          <w:rFonts w:asciiTheme="minorHAnsi" w:eastAsia="Times New Roman" w:hAnsiTheme="minorHAnsi" w:cs="Tahoma"/>
          <w:color w:val="000000"/>
        </w:rPr>
        <w:t xml:space="preserve">sponsored enterprises (Fanny and Freddie) and government </w:t>
      </w:r>
      <w:r w:rsidR="001768E6" w:rsidRPr="00CB1460">
        <w:rPr>
          <w:rFonts w:asciiTheme="minorHAnsi" w:eastAsia="Times New Roman" w:hAnsiTheme="minorHAnsi" w:cs="Tahoma"/>
          <w:color w:val="000000"/>
        </w:rPr>
        <w:t>regulators were too permissive with banks in their quest to help the poor get into affordable housing. One can argue either way, depending on one’s interest in redistribution and preferred method to redistribute. But if this were the chief</w:t>
      </w:r>
      <w:r w:rsidR="00C438C3" w:rsidRPr="00CB1460">
        <w:rPr>
          <w:rFonts w:asciiTheme="minorHAnsi" w:eastAsia="Times New Roman" w:hAnsiTheme="minorHAnsi" w:cs="Tahoma"/>
          <w:color w:val="000000"/>
        </w:rPr>
        <w:t xml:space="preserve"> or even a major</w:t>
      </w:r>
      <w:r w:rsidR="001768E6" w:rsidRPr="00CB1460">
        <w:rPr>
          <w:rFonts w:asciiTheme="minorHAnsi" w:eastAsia="Times New Roman" w:hAnsiTheme="minorHAnsi" w:cs="Tahoma"/>
          <w:color w:val="000000"/>
        </w:rPr>
        <w:t xml:space="preserve"> cause of </w:t>
      </w:r>
      <w:r w:rsidR="00C438C3" w:rsidRPr="00CB1460">
        <w:rPr>
          <w:rFonts w:asciiTheme="minorHAnsi" w:eastAsia="Times New Roman" w:hAnsiTheme="minorHAnsi" w:cs="Tahoma"/>
          <w:color w:val="000000"/>
        </w:rPr>
        <w:t xml:space="preserve">the GR, subprime mortgages would need to have played a much larger role than they did. </w:t>
      </w:r>
    </w:p>
    <w:p w14:paraId="32CF2E4B" w14:textId="77777777" w:rsidR="003F5D12" w:rsidRPr="00CB1460" w:rsidRDefault="003F5D12" w:rsidP="00554E0E">
      <w:pPr>
        <w:jc w:val="both"/>
        <w:rPr>
          <w:rFonts w:asciiTheme="minorHAnsi" w:eastAsia="Times New Roman" w:hAnsiTheme="minorHAnsi" w:cs="Tahoma"/>
          <w:color w:val="000000"/>
        </w:rPr>
      </w:pPr>
    </w:p>
    <w:p w14:paraId="512FB5EE" w14:textId="3A3A10F9" w:rsidR="003F5D12" w:rsidRPr="00CB1460" w:rsidRDefault="003F5D12" w:rsidP="00554E0E">
      <w:pPr>
        <w:jc w:val="both"/>
        <w:rPr>
          <w:rFonts w:asciiTheme="minorHAnsi" w:eastAsia="Times New Roman" w:hAnsiTheme="minorHAnsi" w:cs="Tahoma"/>
          <w:b/>
          <w:color w:val="000000"/>
        </w:rPr>
      </w:pPr>
      <w:r w:rsidRPr="00CB1460">
        <w:rPr>
          <w:rFonts w:asciiTheme="minorHAnsi" w:eastAsia="Times New Roman" w:hAnsiTheme="minorHAnsi" w:cs="Tahoma"/>
          <w:b/>
          <w:color w:val="000000"/>
        </w:rPr>
        <w:t>The Federal Reserve Kept Interest Rates Too Low</w:t>
      </w:r>
    </w:p>
    <w:p w14:paraId="7481FFAA" w14:textId="4F946750" w:rsidR="003F5D12" w:rsidRPr="00CB1460" w:rsidRDefault="00CF2089" w:rsidP="00554E0E">
      <w:pPr>
        <w:jc w:val="both"/>
        <w:rPr>
          <w:rFonts w:asciiTheme="minorHAnsi" w:eastAsia="Times New Roman" w:hAnsiTheme="minorHAnsi" w:cs="Tahoma"/>
          <w:color w:val="000000"/>
        </w:rPr>
      </w:pPr>
      <w:r w:rsidRPr="00CB1460">
        <w:rPr>
          <w:rFonts w:asciiTheme="minorHAnsi" w:eastAsia="Times New Roman" w:hAnsiTheme="minorHAnsi" w:cs="Tahoma"/>
          <w:color w:val="000000"/>
        </w:rPr>
        <w:t>Many commentators place the blame for the GR squarely on the governm</w:t>
      </w:r>
      <w:r w:rsidR="00650B58" w:rsidRPr="00CB1460">
        <w:rPr>
          <w:rFonts w:asciiTheme="minorHAnsi" w:eastAsia="Times New Roman" w:hAnsiTheme="minorHAnsi" w:cs="Tahoma"/>
          <w:color w:val="000000"/>
        </w:rPr>
        <w:t xml:space="preserve">ent, particularly the FED and Fannie May and Freddie Mac, our major government-sponsored enterprises, which help insure mortgages. </w:t>
      </w:r>
      <w:r w:rsidR="006B65EF" w:rsidRPr="00CB1460">
        <w:rPr>
          <w:rFonts w:asciiTheme="minorHAnsi" w:eastAsia="Times New Roman" w:hAnsiTheme="minorHAnsi" w:cs="Tahoma"/>
          <w:color w:val="000000"/>
        </w:rPr>
        <w:t xml:space="preserve">Thirty-year mortgage interest rates were certainly lower </w:t>
      </w:r>
      <w:r w:rsidR="00077148" w:rsidRPr="00CB1460">
        <w:rPr>
          <w:rFonts w:asciiTheme="minorHAnsi" w:eastAsia="Times New Roman" w:hAnsiTheme="minorHAnsi" w:cs="Tahoma"/>
          <w:color w:val="000000"/>
        </w:rPr>
        <w:t>between 2000</w:t>
      </w:r>
      <w:r w:rsidR="007B316E" w:rsidRPr="00CB1460">
        <w:rPr>
          <w:rFonts w:asciiTheme="minorHAnsi" w:eastAsia="Times New Roman" w:hAnsiTheme="minorHAnsi" w:cs="Tahoma"/>
          <w:color w:val="000000"/>
        </w:rPr>
        <w:t xml:space="preserve"> and 2007 than in the prior quarter century.</w:t>
      </w:r>
      <w:r w:rsidR="006B65EF" w:rsidRPr="00CB1460">
        <w:rPr>
          <w:rStyle w:val="FootnoteReference"/>
          <w:rFonts w:asciiTheme="minorHAnsi" w:eastAsia="Times New Roman" w:hAnsiTheme="minorHAnsi" w:cs="Tahoma"/>
          <w:color w:val="000000"/>
        </w:rPr>
        <w:footnoteReference w:id="44"/>
      </w:r>
      <w:r w:rsidR="006B65EF" w:rsidRPr="00CB1460">
        <w:rPr>
          <w:rFonts w:asciiTheme="minorHAnsi" w:eastAsia="Times New Roman" w:hAnsiTheme="minorHAnsi" w:cs="Tahoma"/>
          <w:color w:val="000000"/>
        </w:rPr>
        <w:t xml:space="preserve"> </w:t>
      </w:r>
      <w:r w:rsidR="007B316E" w:rsidRPr="00CB1460">
        <w:rPr>
          <w:rFonts w:asciiTheme="minorHAnsi" w:eastAsia="Times New Roman" w:hAnsiTheme="minorHAnsi" w:cs="Tahoma"/>
          <w:color w:val="000000"/>
        </w:rPr>
        <w:t>But they weren’</w:t>
      </w:r>
      <w:r w:rsidR="00077148" w:rsidRPr="00CB1460">
        <w:rPr>
          <w:rFonts w:asciiTheme="minorHAnsi" w:eastAsia="Times New Roman" w:hAnsiTheme="minorHAnsi" w:cs="Tahoma"/>
          <w:color w:val="000000"/>
        </w:rPr>
        <w:t xml:space="preserve">t that low especially adjusted for inflation. In the 1990s, the real 30-year mortgage rate averaged </w:t>
      </w:r>
      <w:r w:rsidR="00492C17" w:rsidRPr="00CB1460">
        <w:rPr>
          <w:rFonts w:asciiTheme="minorHAnsi" w:eastAsia="Times New Roman" w:hAnsiTheme="minorHAnsi" w:cs="Tahoma"/>
          <w:color w:val="000000"/>
        </w:rPr>
        <w:t xml:space="preserve">7.91 </w:t>
      </w:r>
      <w:r w:rsidR="00077148" w:rsidRPr="00CB1460">
        <w:rPr>
          <w:rFonts w:asciiTheme="minorHAnsi" w:eastAsia="Times New Roman" w:hAnsiTheme="minorHAnsi" w:cs="Tahoma"/>
          <w:color w:val="000000"/>
        </w:rPr>
        <w:t xml:space="preserve">percent. It averaged </w:t>
      </w:r>
      <w:r w:rsidR="00492C17" w:rsidRPr="00CB1460">
        <w:rPr>
          <w:rFonts w:asciiTheme="minorHAnsi" w:eastAsia="Times New Roman" w:hAnsiTheme="minorHAnsi" w:cs="Tahoma"/>
          <w:color w:val="000000"/>
        </w:rPr>
        <w:t>6.27</w:t>
      </w:r>
      <w:r w:rsidR="00077148" w:rsidRPr="00CB1460">
        <w:rPr>
          <w:rFonts w:asciiTheme="minorHAnsi" w:eastAsia="Times New Roman" w:hAnsiTheme="minorHAnsi" w:cs="Tahoma"/>
          <w:color w:val="000000"/>
        </w:rPr>
        <w:t xml:space="preserve"> between January 2000 and December 2007.</w:t>
      </w:r>
      <w:r w:rsidR="00A30EFD" w:rsidRPr="00CB1460">
        <w:rPr>
          <w:rStyle w:val="FootnoteReference"/>
          <w:rFonts w:asciiTheme="minorHAnsi" w:eastAsia="Times New Roman" w:hAnsiTheme="minorHAnsi" w:cs="Tahoma"/>
          <w:color w:val="000000"/>
        </w:rPr>
        <w:footnoteReference w:id="45"/>
      </w:r>
      <w:r w:rsidR="00077148" w:rsidRPr="00CB1460">
        <w:rPr>
          <w:rFonts w:asciiTheme="minorHAnsi" w:eastAsia="Times New Roman" w:hAnsiTheme="minorHAnsi" w:cs="Tahoma"/>
          <w:color w:val="000000"/>
        </w:rPr>
        <w:t xml:space="preserve"> This decline is hardly something to write home about, let alone pretend is the </w:t>
      </w:r>
      <w:r w:rsidR="00A30EFD" w:rsidRPr="00CB1460">
        <w:rPr>
          <w:rFonts w:asciiTheme="minorHAnsi" w:eastAsia="Times New Roman" w:hAnsiTheme="minorHAnsi" w:cs="Tahoma"/>
          <w:color w:val="000000"/>
        </w:rPr>
        <w:t xml:space="preserve">underlying </w:t>
      </w:r>
      <w:r w:rsidR="00077148" w:rsidRPr="00CB1460">
        <w:rPr>
          <w:rFonts w:asciiTheme="minorHAnsi" w:eastAsia="Times New Roman" w:hAnsiTheme="minorHAnsi" w:cs="Tahoma"/>
          <w:color w:val="000000"/>
        </w:rPr>
        <w:t xml:space="preserve">GR culprit. Furthermore, </w:t>
      </w:r>
      <w:r w:rsidR="001F0B6E" w:rsidRPr="00CB1460">
        <w:rPr>
          <w:rFonts w:asciiTheme="minorHAnsi" w:eastAsia="Times New Roman" w:hAnsiTheme="minorHAnsi" w:cs="Tahoma"/>
          <w:color w:val="000000"/>
        </w:rPr>
        <w:t xml:space="preserve">the Federal Reserve controls short-term, actually overnight, interest rates. It doesn’t directly control long-term interest rates, including long-term mortgage rates. </w:t>
      </w:r>
      <w:r w:rsidR="00BE39CB" w:rsidRPr="00CB1460">
        <w:rPr>
          <w:rFonts w:asciiTheme="minorHAnsi" w:eastAsia="Times New Roman" w:hAnsiTheme="minorHAnsi" w:cs="Tahoma"/>
          <w:color w:val="000000"/>
        </w:rPr>
        <w:t xml:space="preserve">As for </w:t>
      </w:r>
      <w:r w:rsidR="00365CA4" w:rsidRPr="00CB1460">
        <w:rPr>
          <w:rFonts w:asciiTheme="minorHAnsi" w:eastAsia="Times New Roman" w:hAnsiTheme="minorHAnsi" w:cs="Tahoma"/>
          <w:color w:val="000000"/>
        </w:rPr>
        <w:t>adjustable rate 5/1-year adjustable rate mortgages (ARMs), their real rate averaged between 5 and 6 percent in the two years preceding the GR. Real rates of this magnitude are not low.</w:t>
      </w:r>
      <w:r w:rsidR="00C2742E" w:rsidRPr="00CB1460">
        <w:rPr>
          <w:rStyle w:val="FootnoteReference"/>
          <w:rFonts w:asciiTheme="minorHAnsi" w:eastAsia="Times New Roman" w:hAnsiTheme="minorHAnsi" w:cs="Tahoma"/>
          <w:color w:val="000000"/>
        </w:rPr>
        <w:footnoteReference w:id="46"/>
      </w:r>
      <w:r w:rsidR="00365CA4" w:rsidRPr="00CB1460">
        <w:rPr>
          <w:rFonts w:asciiTheme="minorHAnsi" w:eastAsia="Times New Roman" w:hAnsiTheme="minorHAnsi" w:cs="Tahoma"/>
          <w:color w:val="000000"/>
        </w:rPr>
        <w:t xml:space="preserve">  </w:t>
      </w:r>
    </w:p>
    <w:p w14:paraId="60A9EFCE" w14:textId="77777777" w:rsidR="003F5D12" w:rsidRPr="00CB1460" w:rsidRDefault="003F5D12" w:rsidP="00554E0E">
      <w:pPr>
        <w:jc w:val="both"/>
        <w:rPr>
          <w:rFonts w:asciiTheme="minorHAnsi" w:eastAsia="Times New Roman" w:hAnsiTheme="minorHAnsi" w:cs="Tahoma"/>
          <w:b/>
          <w:color w:val="000000"/>
        </w:rPr>
      </w:pPr>
    </w:p>
    <w:p w14:paraId="4CC38852" w14:textId="3E1D1B5D" w:rsidR="007D0CD4" w:rsidRPr="00CB1460" w:rsidRDefault="002C3793" w:rsidP="00554E0E">
      <w:pPr>
        <w:jc w:val="both"/>
        <w:rPr>
          <w:rFonts w:asciiTheme="minorHAnsi" w:eastAsia="Times New Roman" w:hAnsiTheme="minorHAnsi" w:cs="Tahoma"/>
          <w:b/>
          <w:color w:val="000000"/>
        </w:rPr>
      </w:pPr>
      <w:r w:rsidRPr="00CB1460">
        <w:rPr>
          <w:rFonts w:asciiTheme="minorHAnsi" w:eastAsia="Times New Roman" w:hAnsiTheme="minorHAnsi" w:cs="Tahoma"/>
          <w:b/>
          <w:color w:val="000000"/>
        </w:rPr>
        <w:t>Summary of the GR’s Usual Suspects</w:t>
      </w:r>
    </w:p>
    <w:p w14:paraId="7AE9AA99" w14:textId="77777777" w:rsidR="008B1E44" w:rsidRDefault="002C3793" w:rsidP="00554E0E">
      <w:pPr>
        <w:jc w:val="both"/>
        <w:rPr>
          <w:rFonts w:asciiTheme="minorHAnsi" w:eastAsia="Times New Roman" w:hAnsiTheme="minorHAnsi" w:cs="Tahoma"/>
          <w:color w:val="000000"/>
        </w:rPr>
      </w:pPr>
      <w:r w:rsidRPr="00CB1460">
        <w:rPr>
          <w:rFonts w:asciiTheme="minorHAnsi" w:eastAsia="Times New Roman" w:hAnsiTheme="minorHAnsi" w:cs="Tahoma"/>
          <w:color w:val="000000"/>
        </w:rPr>
        <w:t xml:space="preserve">The above interrogation </w:t>
      </w:r>
      <w:r w:rsidR="008B1E44">
        <w:rPr>
          <w:rFonts w:asciiTheme="minorHAnsi" w:eastAsia="Times New Roman" w:hAnsiTheme="minorHAnsi" w:cs="Tahoma"/>
          <w:color w:val="000000"/>
        </w:rPr>
        <w:t>of</w:t>
      </w:r>
      <w:r w:rsidR="00540386">
        <w:rPr>
          <w:rFonts w:asciiTheme="minorHAnsi" w:eastAsia="Times New Roman" w:hAnsiTheme="minorHAnsi" w:cs="Tahoma"/>
          <w:color w:val="000000"/>
        </w:rPr>
        <w:t xml:space="preserve"> </w:t>
      </w:r>
      <w:r w:rsidRPr="00CB1460">
        <w:rPr>
          <w:rFonts w:asciiTheme="minorHAnsi" w:eastAsia="Times New Roman" w:hAnsiTheme="minorHAnsi" w:cs="Tahoma"/>
          <w:color w:val="000000"/>
        </w:rPr>
        <w:t>t</w:t>
      </w:r>
      <w:r w:rsidR="00A770CF" w:rsidRPr="00CB1460">
        <w:rPr>
          <w:rFonts w:asciiTheme="minorHAnsi" w:eastAsia="Times New Roman" w:hAnsiTheme="minorHAnsi" w:cs="Tahoma"/>
          <w:color w:val="000000"/>
        </w:rPr>
        <w:t>he standard</w:t>
      </w:r>
      <w:r w:rsidR="00643573" w:rsidRPr="00CB1460">
        <w:rPr>
          <w:rFonts w:asciiTheme="minorHAnsi" w:eastAsia="Times New Roman" w:hAnsiTheme="minorHAnsi" w:cs="Tahoma"/>
          <w:color w:val="000000"/>
        </w:rPr>
        <w:t xml:space="preserve"> GR suspects</w:t>
      </w:r>
      <w:r w:rsidRPr="00CB1460">
        <w:rPr>
          <w:rFonts w:asciiTheme="minorHAnsi" w:eastAsia="Times New Roman" w:hAnsiTheme="minorHAnsi" w:cs="Tahoma"/>
          <w:color w:val="000000"/>
        </w:rPr>
        <w:t xml:space="preserve"> finds none of them guilty. </w:t>
      </w:r>
      <w:r w:rsidR="00740B8F" w:rsidRPr="00CB1460">
        <w:rPr>
          <w:rFonts w:asciiTheme="minorHAnsi" w:eastAsia="Times New Roman" w:hAnsiTheme="minorHAnsi" w:cs="Tahoma"/>
          <w:color w:val="000000"/>
        </w:rPr>
        <w:t xml:space="preserve">Subprimes </w:t>
      </w:r>
      <w:r w:rsidR="00755078" w:rsidRPr="00CB1460">
        <w:rPr>
          <w:rFonts w:asciiTheme="minorHAnsi" w:eastAsia="Times New Roman" w:hAnsiTheme="minorHAnsi" w:cs="Tahoma"/>
          <w:color w:val="000000"/>
        </w:rPr>
        <w:t xml:space="preserve">that went into foreclosure </w:t>
      </w:r>
      <w:r w:rsidR="00740B8F" w:rsidRPr="00CB1460">
        <w:rPr>
          <w:rFonts w:asciiTheme="minorHAnsi" w:eastAsia="Times New Roman" w:hAnsiTheme="minorHAnsi" w:cs="Tahoma"/>
          <w:color w:val="000000"/>
        </w:rPr>
        <w:t>weren’</w:t>
      </w:r>
      <w:r w:rsidR="00867EEF" w:rsidRPr="00CB1460">
        <w:rPr>
          <w:rFonts w:asciiTheme="minorHAnsi" w:eastAsia="Times New Roman" w:hAnsiTheme="minorHAnsi" w:cs="Tahoma"/>
          <w:color w:val="000000"/>
        </w:rPr>
        <w:t xml:space="preserve">t </w:t>
      </w:r>
      <w:r w:rsidR="00755078" w:rsidRPr="00CB1460">
        <w:rPr>
          <w:rFonts w:asciiTheme="minorHAnsi" w:eastAsia="Times New Roman" w:hAnsiTheme="minorHAnsi" w:cs="Tahoma"/>
          <w:color w:val="000000"/>
        </w:rPr>
        <w:t xml:space="preserve">a large enough factor in the mortgage market, </w:t>
      </w:r>
      <w:r w:rsidR="00740B8F" w:rsidRPr="00CB1460">
        <w:rPr>
          <w:rFonts w:asciiTheme="minorHAnsi" w:eastAsia="Times New Roman" w:hAnsiTheme="minorHAnsi" w:cs="Tahoma"/>
          <w:color w:val="000000"/>
        </w:rPr>
        <w:t xml:space="preserve">the housing price </w:t>
      </w:r>
      <w:r w:rsidR="00755078" w:rsidRPr="00CB1460">
        <w:rPr>
          <w:rFonts w:asciiTheme="minorHAnsi" w:eastAsia="Times New Roman" w:hAnsiTheme="minorHAnsi" w:cs="Tahoma"/>
          <w:color w:val="000000"/>
        </w:rPr>
        <w:t>“</w:t>
      </w:r>
      <w:r w:rsidR="00740B8F" w:rsidRPr="00CB1460">
        <w:rPr>
          <w:rFonts w:asciiTheme="minorHAnsi" w:eastAsia="Times New Roman" w:hAnsiTheme="minorHAnsi" w:cs="Tahoma"/>
          <w:color w:val="000000"/>
        </w:rPr>
        <w:t>bubble</w:t>
      </w:r>
      <w:r w:rsidR="00755078" w:rsidRPr="00CB1460">
        <w:rPr>
          <w:rFonts w:asciiTheme="minorHAnsi" w:eastAsia="Times New Roman" w:hAnsiTheme="minorHAnsi" w:cs="Tahoma"/>
          <w:color w:val="000000"/>
        </w:rPr>
        <w:t xml:space="preserve">,” if you can call it that, </w:t>
      </w:r>
      <w:r w:rsidR="00EE0DA6" w:rsidRPr="00CB1460">
        <w:rPr>
          <w:rFonts w:asciiTheme="minorHAnsi" w:eastAsia="Times New Roman" w:hAnsiTheme="minorHAnsi" w:cs="Tahoma"/>
          <w:color w:val="000000"/>
        </w:rPr>
        <w:t>was</w:t>
      </w:r>
      <w:r w:rsidR="00755078" w:rsidRPr="00CB1460">
        <w:rPr>
          <w:rFonts w:asciiTheme="minorHAnsi" w:eastAsia="Times New Roman" w:hAnsiTheme="minorHAnsi" w:cs="Tahoma"/>
          <w:color w:val="000000"/>
        </w:rPr>
        <w:t xml:space="preserve"> minor</w:t>
      </w:r>
      <w:r w:rsidR="001F39B3" w:rsidRPr="00CB1460">
        <w:rPr>
          <w:rFonts w:asciiTheme="minorHAnsi" w:eastAsia="Times New Roman" w:hAnsiTheme="minorHAnsi" w:cs="Tahoma"/>
          <w:color w:val="000000"/>
        </w:rPr>
        <w:t>, rating shopping wasn’</w:t>
      </w:r>
      <w:r w:rsidR="00282691" w:rsidRPr="00CB1460">
        <w:rPr>
          <w:rFonts w:asciiTheme="minorHAnsi" w:eastAsia="Times New Roman" w:hAnsiTheme="minorHAnsi" w:cs="Tahoma"/>
          <w:color w:val="000000"/>
        </w:rPr>
        <w:t>t a big deal</w:t>
      </w:r>
      <w:r w:rsidR="00755078" w:rsidRPr="00CB1460">
        <w:rPr>
          <w:rFonts w:asciiTheme="minorHAnsi" w:eastAsia="Times New Roman" w:hAnsiTheme="minorHAnsi" w:cs="Tahoma"/>
          <w:color w:val="000000"/>
        </w:rPr>
        <w:t xml:space="preserve"> given cross rating and the ex-post performance of rated securities</w:t>
      </w:r>
      <w:r w:rsidR="001F39B3" w:rsidRPr="00CB1460">
        <w:rPr>
          <w:rFonts w:asciiTheme="minorHAnsi" w:eastAsia="Times New Roman" w:hAnsiTheme="minorHAnsi" w:cs="Tahoma"/>
          <w:color w:val="000000"/>
        </w:rPr>
        <w:t>, increased</w:t>
      </w:r>
      <w:r w:rsidR="00FA2700" w:rsidRPr="00CB1460">
        <w:rPr>
          <w:rFonts w:asciiTheme="minorHAnsi" w:eastAsia="Times New Roman" w:hAnsiTheme="minorHAnsi" w:cs="Tahoma"/>
          <w:color w:val="000000"/>
        </w:rPr>
        <w:t xml:space="preserve"> financial leverage is</w:t>
      </w:r>
      <w:r w:rsidR="001F39B3" w:rsidRPr="00CB1460">
        <w:rPr>
          <w:rFonts w:asciiTheme="minorHAnsi" w:eastAsia="Times New Roman" w:hAnsiTheme="minorHAnsi" w:cs="Tahoma"/>
          <w:color w:val="000000"/>
        </w:rPr>
        <w:t xml:space="preserve"> a myth, egregious and predatory lending was too small to matter, the run up in mortgage debt was in line with the rise in the country’s net worth and didn’</w:t>
      </w:r>
      <w:r w:rsidR="00282691" w:rsidRPr="00CB1460">
        <w:rPr>
          <w:rFonts w:asciiTheme="minorHAnsi" w:eastAsia="Times New Roman" w:hAnsiTheme="minorHAnsi" w:cs="Tahoma"/>
          <w:color w:val="000000"/>
        </w:rPr>
        <w:t>t signal a consumer-</w:t>
      </w:r>
      <w:r w:rsidR="001F39B3" w:rsidRPr="00CB1460">
        <w:rPr>
          <w:rFonts w:asciiTheme="minorHAnsi" w:eastAsia="Times New Roman" w:hAnsiTheme="minorHAnsi" w:cs="Tahoma"/>
          <w:color w:val="000000"/>
        </w:rPr>
        <w:t xml:space="preserve">spending spree, </w:t>
      </w:r>
      <w:r w:rsidR="0057746C" w:rsidRPr="00CB1460">
        <w:rPr>
          <w:rFonts w:asciiTheme="minorHAnsi" w:eastAsia="Times New Roman" w:hAnsiTheme="minorHAnsi" w:cs="Tahoma"/>
          <w:color w:val="000000"/>
        </w:rPr>
        <w:t xml:space="preserve">derivatives were </w:t>
      </w:r>
      <w:r w:rsidR="00204C1C" w:rsidRPr="00CB1460">
        <w:rPr>
          <w:rFonts w:asciiTheme="minorHAnsi" w:eastAsia="Times New Roman" w:hAnsiTheme="minorHAnsi" w:cs="Tahoma"/>
          <w:color w:val="000000"/>
        </w:rPr>
        <w:t xml:space="preserve">generally </w:t>
      </w:r>
      <w:r w:rsidR="0057746C" w:rsidRPr="00CB1460">
        <w:rPr>
          <w:rFonts w:asciiTheme="minorHAnsi" w:eastAsia="Times New Roman" w:hAnsiTheme="minorHAnsi" w:cs="Tahoma"/>
          <w:color w:val="000000"/>
        </w:rPr>
        <w:t>properly rated</w:t>
      </w:r>
      <w:r w:rsidR="00352900" w:rsidRPr="00CB1460">
        <w:rPr>
          <w:rFonts w:asciiTheme="minorHAnsi" w:eastAsia="Times New Roman" w:hAnsiTheme="minorHAnsi" w:cs="Tahoma"/>
          <w:color w:val="000000"/>
        </w:rPr>
        <w:t xml:space="preserve"> and not</w:t>
      </w:r>
      <w:r w:rsidR="0057746C" w:rsidRPr="00CB1460">
        <w:rPr>
          <w:rFonts w:asciiTheme="minorHAnsi" w:eastAsia="Times New Roman" w:hAnsiTheme="minorHAnsi" w:cs="Tahoma"/>
          <w:color w:val="000000"/>
        </w:rPr>
        <w:t xml:space="preserve"> toxic, </w:t>
      </w:r>
      <w:r w:rsidR="00204C1C" w:rsidRPr="00CB1460">
        <w:rPr>
          <w:rFonts w:asciiTheme="minorHAnsi" w:eastAsia="Times New Roman" w:hAnsiTheme="minorHAnsi" w:cs="Tahoma"/>
          <w:color w:val="000000"/>
        </w:rPr>
        <w:t>repos didn’t lead to excessive financial leverage, investors didn’t ignore risk, CEO incentiv</w:t>
      </w:r>
      <w:r w:rsidR="00F25A5F" w:rsidRPr="00CB1460">
        <w:rPr>
          <w:rFonts w:asciiTheme="minorHAnsi" w:eastAsia="Times New Roman" w:hAnsiTheme="minorHAnsi" w:cs="Tahoma"/>
          <w:color w:val="000000"/>
        </w:rPr>
        <w:t xml:space="preserve">es to play it safe were in </w:t>
      </w:r>
      <w:r w:rsidR="00204C1C" w:rsidRPr="00CB1460">
        <w:rPr>
          <w:rFonts w:asciiTheme="minorHAnsi" w:eastAsia="Times New Roman" w:hAnsiTheme="minorHAnsi" w:cs="Tahoma"/>
          <w:color w:val="000000"/>
        </w:rPr>
        <w:t>force, regulators did not permit financial companies to expand their leverage, t</w:t>
      </w:r>
      <w:r w:rsidR="00F25A5F" w:rsidRPr="00CB1460">
        <w:rPr>
          <w:rFonts w:asciiTheme="minorHAnsi" w:eastAsia="Times New Roman" w:hAnsiTheme="minorHAnsi" w:cs="Tahoma"/>
          <w:color w:val="000000"/>
        </w:rPr>
        <w:t>he democratization of finance did not make a major difference</w:t>
      </w:r>
      <w:r w:rsidR="00204C1C" w:rsidRPr="00CB1460">
        <w:rPr>
          <w:rFonts w:asciiTheme="minorHAnsi" w:eastAsia="Times New Roman" w:hAnsiTheme="minorHAnsi" w:cs="Tahoma"/>
          <w:color w:val="000000"/>
        </w:rPr>
        <w:t xml:space="preserve">, and real mortgage interest rates, both short- and </w:t>
      </w:r>
      <w:r w:rsidR="00D162C8" w:rsidRPr="00CB1460">
        <w:rPr>
          <w:rFonts w:asciiTheme="minorHAnsi" w:eastAsia="Times New Roman" w:hAnsiTheme="minorHAnsi" w:cs="Tahoma"/>
          <w:color w:val="000000"/>
        </w:rPr>
        <w:t>long-term, weren’</w:t>
      </w:r>
      <w:r w:rsidR="00F25A5F" w:rsidRPr="00CB1460">
        <w:rPr>
          <w:rFonts w:asciiTheme="minorHAnsi" w:eastAsia="Times New Roman" w:hAnsiTheme="minorHAnsi" w:cs="Tahoma"/>
          <w:color w:val="000000"/>
        </w:rPr>
        <w:t>t</w:t>
      </w:r>
      <w:r w:rsidR="008B1E44">
        <w:rPr>
          <w:rFonts w:asciiTheme="minorHAnsi" w:eastAsia="Times New Roman" w:hAnsiTheme="minorHAnsi" w:cs="Tahoma"/>
          <w:color w:val="000000"/>
        </w:rPr>
        <w:t xml:space="preserve"> low. </w:t>
      </w:r>
    </w:p>
    <w:p w14:paraId="3892EA57" w14:textId="77777777" w:rsidR="008E0D98" w:rsidRDefault="008E0D98" w:rsidP="00554E0E">
      <w:pPr>
        <w:jc w:val="both"/>
        <w:rPr>
          <w:rFonts w:asciiTheme="minorHAnsi" w:eastAsia="Times New Roman" w:hAnsiTheme="minorHAnsi" w:cs="Tahoma"/>
          <w:color w:val="000000"/>
        </w:rPr>
      </w:pPr>
    </w:p>
    <w:p w14:paraId="7D2FD5D7" w14:textId="066B568A" w:rsidR="0052540F" w:rsidRPr="008B1E44" w:rsidRDefault="008E0D98" w:rsidP="00D41CB5">
      <w:pPr>
        <w:jc w:val="both"/>
        <w:rPr>
          <w:rFonts w:asciiTheme="minorHAnsi" w:eastAsia="Times New Roman" w:hAnsiTheme="minorHAnsi" w:cs="Tahoma"/>
          <w:color w:val="000000"/>
        </w:rPr>
      </w:pPr>
      <w:r>
        <w:rPr>
          <w:rFonts w:asciiTheme="minorHAnsi" w:eastAsia="Times New Roman" w:hAnsiTheme="minorHAnsi" w:cs="Tahoma"/>
          <w:color w:val="000000"/>
        </w:rPr>
        <w:t xml:space="preserve">Perhaps the biggest myth of all about the GR is that it was truly “Great.” </w:t>
      </w:r>
      <w:r w:rsidR="008B1E44">
        <w:rPr>
          <w:rFonts w:asciiTheme="minorHAnsi" w:eastAsia="Times New Roman" w:hAnsiTheme="minorHAnsi" w:cs="Tahoma"/>
          <w:color w:val="000000"/>
        </w:rPr>
        <w:t>T</w:t>
      </w:r>
      <w:r w:rsidR="00D41CB5" w:rsidRPr="00CB1460">
        <w:rPr>
          <w:rFonts w:asciiTheme="minorHAnsi" w:eastAsia="Times New Roman" w:hAnsiTheme="minorHAnsi"/>
          <w:color w:val="000000"/>
        </w:rPr>
        <w:t xml:space="preserve">he decline in real GDP over the course of the GR was only 3.1 percent. This is not remotely comparable to the 25.9 percent plunge in output recorded during the first four years of the Great Depression. And it’s less than twice the average percentage decline in output recorded in the prior five recessions. It’s also not much larger than the 2.5 percent real GDP drop in the 1981-82 recession. </w:t>
      </w:r>
    </w:p>
    <w:p w14:paraId="36CD7BA3" w14:textId="77777777" w:rsidR="0052540F" w:rsidRPr="00CB1460" w:rsidRDefault="0052540F" w:rsidP="00D41CB5">
      <w:pPr>
        <w:jc w:val="both"/>
        <w:rPr>
          <w:rFonts w:asciiTheme="minorHAnsi" w:eastAsia="Times New Roman" w:hAnsiTheme="minorHAnsi"/>
          <w:color w:val="000000"/>
        </w:rPr>
      </w:pPr>
    </w:p>
    <w:p w14:paraId="60DBD2FD" w14:textId="4FA8AF94" w:rsidR="00907596" w:rsidRPr="00CB1460" w:rsidRDefault="00D41CB5" w:rsidP="00D41CB5">
      <w:pPr>
        <w:jc w:val="both"/>
        <w:rPr>
          <w:rFonts w:asciiTheme="minorHAnsi" w:eastAsia="Times New Roman" w:hAnsiTheme="minorHAnsi"/>
          <w:color w:val="000000"/>
        </w:rPr>
      </w:pPr>
      <w:r w:rsidRPr="00CB1460">
        <w:rPr>
          <w:rFonts w:asciiTheme="minorHAnsi" w:eastAsia="Times New Roman" w:hAnsiTheme="minorHAnsi"/>
          <w:color w:val="000000"/>
        </w:rPr>
        <w:t>Yes, during the GR, the stock market fell by almost one third</w:t>
      </w:r>
      <w:r w:rsidR="00824200" w:rsidRPr="00CB1460">
        <w:rPr>
          <w:rFonts w:asciiTheme="minorHAnsi" w:eastAsia="Times New Roman" w:hAnsiTheme="minorHAnsi"/>
          <w:color w:val="000000"/>
        </w:rPr>
        <w:t xml:space="preserve"> </w:t>
      </w:r>
      <w:r w:rsidRPr="00CB1460">
        <w:rPr>
          <w:rFonts w:asciiTheme="minorHAnsi" w:eastAsia="Times New Roman" w:hAnsiTheme="minorHAnsi"/>
          <w:color w:val="000000"/>
        </w:rPr>
        <w:t>and the unemployment rate doubled. But stock prices fell by a far larger percentage (40 per</w:t>
      </w:r>
      <w:r w:rsidR="00907596" w:rsidRPr="00CB1460">
        <w:rPr>
          <w:rFonts w:asciiTheme="minorHAnsi" w:eastAsia="Times New Roman" w:hAnsiTheme="minorHAnsi"/>
          <w:color w:val="000000"/>
        </w:rPr>
        <w:t>cent) between 2000 and 2002 and, in the 1981-82 recession, the unemployment rate peaked at a higher level</w:t>
      </w:r>
      <w:r w:rsidRPr="00CB1460">
        <w:rPr>
          <w:rFonts w:asciiTheme="minorHAnsi" w:eastAsia="Times New Roman" w:hAnsiTheme="minorHAnsi"/>
          <w:color w:val="000000"/>
        </w:rPr>
        <w:t xml:space="preserve"> than in the GR. Like the supposed causes of the Great Recession, the size, itself, of the GR appears to have been hyped. </w:t>
      </w:r>
    </w:p>
    <w:p w14:paraId="0F0258D1" w14:textId="77777777" w:rsidR="00907596" w:rsidRPr="00CB1460" w:rsidRDefault="00907596" w:rsidP="00D41CB5">
      <w:pPr>
        <w:jc w:val="both"/>
        <w:rPr>
          <w:rFonts w:asciiTheme="minorHAnsi" w:eastAsia="Times New Roman" w:hAnsiTheme="minorHAnsi"/>
          <w:color w:val="000000"/>
        </w:rPr>
      </w:pPr>
    </w:p>
    <w:p w14:paraId="710AC1B8" w14:textId="2C167157" w:rsidR="00D41CB5" w:rsidRPr="00CB1460" w:rsidRDefault="000D334A" w:rsidP="00D41CB5">
      <w:pPr>
        <w:jc w:val="both"/>
        <w:rPr>
          <w:rFonts w:asciiTheme="minorHAnsi" w:eastAsia="Times New Roman" w:hAnsiTheme="minorHAnsi"/>
          <w:color w:val="000000"/>
        </w:rPr>
      </w:pPr>
      <w:r w:rsidRPr="00CB1460">
        <w:rPr>
          <w:rFonts w:asciiTheme="minorHAnsi" w:eastAsia="Times New Roman" w:hAnsiTheme="minorHAnsi"/>
          <w:color w:val="000000"/>
        </w:rPr>
        <w:t>Stated differently, if one wants to claim the 2008-2009 recession was “great,”</w:t>
      </w:r>
      <w:r w:rsidR="00263F33" w:rsidRPr="00CB1460">
        <w:rPr>
          <w:rFonts w:asciiTheme="minorHAnsi" w:eastAsia="Times New Roman" w:hAnsiTheme="minorHAnsi"/>
          <w:color w:val="000000"/>
        </w:rPr>
        <w:t xml:space="preserve"> the 81-82 recession should at least be called </w:t>
      </w:r>
      <w:r w:rsidR="00D95E73" w:rsidRPr="00CB1460">
        <w:rPr>
          <w:rFonts w:asciiTheme="minorHAnsi" w:eastAsia="Times New Roman" w:hAnsiTheme="minorHAnsi"/>
          <w:color w:val="000000"/>
        </w:rPr>
        <w:t xml:space="preserve">the </w:t>
      </w:r>
      <w:r w:rsidR="00263F33" w:rsidRPr="00CB1460">
        <w:rPr>
          <w:rFonts w:asciiTheme="minorHAnsi" w:eastAsia="Times New Roman" w:hAnsiTheme="minorHAnsi"/>
          <w:color w:val="000000"/>
        </w:rPr>
        <w:t>“</w:t>
      </w:r>
      <w:r w:rsidR="00D95E73" w:rsidRPr="00CB1460">
        <w:rPr>
          <w:rFonts w:asciiTheme="minorHAnsi" w:eastAsia="Times New Roman" w:hAnsiTheme="minorHAnsi"/>
          <w:color w:val="000000"/>
        </w:rPr>
        <w:t>I</w:t>
      </w:r>
      <w:r w:rsidR="00263F33" w:rsidRPr="00CB1460">
        <w:rPr>
          <w:rFonts w:asciiTheme="minorHAnsi" w:eastAsia="Times New Roman" w:hAnsiTheme="minorHAnsi"/>
          <w:color w:val="000000"/>
        </w:rPr>
        <w:t>mpressive</w:t>
      </w:r>
      <w:r w:rsidR="00D95E73" w:rsidRPr="00CB1460">
        <w:rPr>
          <w:rFonts w:asciiTheme="minorHAnsi" w:eastAsia="Times New Roman" w:hAnsiTheme="minorHAnsi"/>
          <w:color w:val="000000"/>
        </w:rPr>
        <w:t xml:space="preserve"> Recession</w:t>
      </w:r>
      <w:r w:rsidR="00263F33" w:rsidRPr="00CB1460">
        <w:rPr>
          <w:rFonts w:asciiTheme="minorHAnsi" w:eastAsia="Times New Roman" w:hAnsiTheme="minorHAnsi"/>
          <w:color w:val="000000"/>
        </w:rPr>
        <w:t xml:space="preserve">.” In the </w:t>
      </w:r>
      <w:r w:rsidR="00D95E73" w:rsidRPr="00CB1460">
        <w:rPr>
          <w:rFonts w:asciiTheme="minorHAnsi" w:eastAsia="Times New Roman" w:hAnsiTheme="minorHAnsi"/>
          <w:color w:val="000000"/>
        </w:rPr>
        <w:t>Impressive Recession</w:t>
      </w:r>
      <w:r w:rsidR="00263F33" w:rsidRPr="00CB1460">
        <w:rPr>
          <w:rFonts w:asciiTheme="minorHAnsi" w:eastAsia="Times New Roman" w:hAnsiTheme="minorHAnsi"/>
          <w:color w:val="000000"/>
        </w:rPr>
        <w:t xml:space="preserve">, stocks fell 24.6 percent, real GDP fell 2.5 percent, and unemployment rose by 3.3 percentage points. The </w:t>
      </w:r>
      <w:r w:rsidR="00D95E73" w:rsidRPr="00CB1460">
        <w:rPr>
          <w:rFonts w:asciiTheme="minorHAnsi" w:eastAsia="Times New Roman" w:hAnsiTheme="minorHAnsi"/>
          <w:color w:val="000000"/>
        </w:rPr>
        <w:t>respective Great Recession</w:t>
      </w:r>
      <w:r w:rsidR="00263F33" w:rsidRPr="00CB1460">
        <w:rPr>
          <w:rFonts w:asciiTheme="minorHAnsi" w:eastAsia="Times New Roman" w:hAnsiTheme="minorHAnsi"/>
          <w:color w:val="000000"/>
        </w:rPr>
        <w:t xml:space="preserve"> figures are 43.6 percent, 3.1 percent, and </w:t>
      </w:r>
      <w:r w:rsidR="00D95E73" w:rsidRPr="00CB1460">
        <w:rPr>
          <w:rFonts w:asciiTheme="minorHAnsi" w:eastAsia="Times New Roman" w:hAnsiTheme="minorHAnsi"/>
          <w:color w:val="000000"/>
        </w:rPr>
        <w:t xml:space="preserve">3.1 percent. Yes, </w:t>
      </w:r>
      <w:r w:rsidR="00E718D4" w:rsidRPr="00CB1460">
        <w:rPr>
          <w:rFonts w:asciiTheme="minorHAnsi" w:eastAsia="Times New Roman" w:hAnsiTheme="minorHAnsi"/>
          <w:color w:val="000000"/>
        </w:rPr>
        <w:t xml:space="preserve">GR figures </w:t>
      </w:r>
      <w:r w:rsidR="00D95E73" w:rsidRPr="00CB1460">
        <w:rPr>
          <w:rFonts w:asciiTheme="minorHAnsi" w:eastAsia="Times New Roman" w:hAnsiTheme="minorHAnsi"/>
          <w:color w:val="000000"/>
        </w:rPr>
        <w:t xml:space="preserve">are all larger, but not </w:t>
      </w:r>
      <w:r w:rsidR="00E718D4" w:rsidRPr="00CB1460">
        <w:rPr>
          <w:rFonts w:asciiTheme="minorHAnsi" w:eastAsia="Times New Roman" w:hAnsiTheme="minorHAnsi"/>
          <w:color w:val="000000"/>
        </w:rPr>
        <w:t xml:space="preserve">by </w:t>
      </w:r>
      <w:r w:rsidR="00D95E73" w:rsidRPr="00CB1460">
        <w:rPr>
          <w:rFonts w:asciiTheme="minorHAnsi" w:eastAsia="Times New Roman" w:hAnsiTheme="minorHAnsi"/>
          <w:color w:val="000000"/>
        </w:rPr>
        <w:t xml:space="preserve">that much. </w:t>
      </w:r>
    </w:p>
    <w:p w14:paraId="7E5236AC" w14:textId="77777777" w:rsidR="00850AE4" w:rsidRPr="00CB1460" w:rsidRDefault="00850AE4" w:rsidP="00D41CB5">
      <w:pPr>
        <w:jc w:val="both"/>
        <w:rPr>
          <w:rFonts w:asciiTheme="minorHAnsi" w:eastAsia="Times New Roman" w:hAnsiTheme="minorHAnsi"/>
          <w:color w:val="000000"/>
        </w:rPr>
      </w:pPr>
    </w:p>
    <w:p w14:paraId="5B7DABB7" w14:textId="746134C1" w:rsidR="008E0D98" w:rsidRPr="00CB1460" w:rsidRDefault="00850AE4" w:rsidP="00D41CB5">
      <w:pPr>
        <w:jc w:val="both"/>
        <w:rPr>
          <w:rFonts w:asciiTheme="minorHAnsi" w:eastAsia="Times New Roman" w:hAnsiTheme="minorHAnsi"/>
          <w:color w:val="000000"/>
        </w:rPr>
      </w:pPr>
      <w:r w:rsidRPr="00CB1460">
        <w:rPr>
          <w:rFonts w:asciiTheme="minorHAnsi" w:eastAsia="Times New Roman" w:hAnsiTheme="minorHAnsi"/>
          <w:color w:val="000000"/>
        </w:rPr>
        <w:t>And housing prices? They fell between Q1 2007 and Q2 2012 by 19 percent. But, as argued above, a decline in housing prices doesn’t constitute a macro shock. And for most households it doesn’t</w:t>
      </w:r>
      <w:r w:rsidR="00045929" w:rsidRPr="00CB1460">
        <w:rPr>
          <w:rFonts w:asciiTheme="minorHAnsi" w:eastAsia="Times New Roman" w:hAnsiTheme="minorHAnsi"/>
          <w:color w:val="000000"/>
        </w:rPr>
        <w:t xml:space="preserve"> even represent</w:t>
      </w:r>
      <w:r w:rsidRPr="00CB1460">
        <w:rPr>
          <w:rFonts w:asciiTheme="minorHAnsi" w:eastAsia="Times New Roman" w:hAnsiTheme="minorHAnsi"/>
          <w:color w:val="000000"/>
        </w:rPr>
        <w:t xml:space="preserve"> a micro shock. </w:t>
      </w:r>
      <w:r w:rsidR="00045929" w:rsidRPr="00CB1460">
        <w:rPr>
          <w:rFonts w:asciiTheme="minorHAnsi" w:eastAsia="Times New Roman" w:hAnsiTheme="minorHAnsi"/>
          <w:color w:val="000000"/>
        </w:rPr>
        <w:t>This is readily seen by simply looking at the stock of housing. The fact that its price changed didn’t move, let alone eliminate a</w:t>
      </w:r>
      <w:r w:rsidR="00A0104B" w:rsidRPr="00CB1460">
        <w:rPr>
          <w:rFonts w:asciiTheme="minorHAnsi" w:eastAsia="Times New Roman" w:hAnsiTheme="minorHAnsi"/>
          <w:color w:val="000000"/>
        </w:rPr>
        <w:t xml:space="preserve"> single</w:t>
      </w:r>
      <w:r w:rsidR="00045929" w:rsidRPr="00CB1460">
        <w:rPr>
          <w:rFonts w:asciiTheme="minorHAnsi" w:eastAsia="Times New Roman" w:hAnsiTheme="minorHAnsi"/>
          <w:color w:val="000000"/>
        </w:rPr>
        <w:t xml:space="preserve"> brick, stone, plank or shingle on any of the tens of millions of home</w:t>
      </w:r>
      <w:r w:rsidR="00823B5B" w:rsidRPr="00CB1460">
        <w:rPr>
          <w:rFonts w:asciiTheme="minorHAnsi" w:eastAsia="Times New Roman" w:hAnsiTheme="minorHAnsi"/>
          <w:color w:val="000000"/>
        </w:rPr>
        <w:t>s</w:t>
      </w:r>
      <w:r w:rsidR="00045929" w:rsidRPr="00CB1460">
        <w:rPr>
          <w:rFonts w:asciiTheme="minorHAnsi" w:eastAsia="Times New Roman" w:hAnsiTheme="minorHAnsi"/>
          <w:color w:val="000000"/>
        </w:rPr>
        <w:t xml:space="preserve"> across the country. </w:t>
      </w:r>
    </w:p>
    <w:p w14:paraId="153581F4" w14:textId="77777777" w:rsidR="00925DB1" w:rsidRPr="00CB1460" w:rsidRDefault="00925DB1" w:rsidP="00D41CB5">
      <w:pPr>
        <w:jc w:val="both"/>
        <w:rPr>
          <w:rFonts w:asciiTheme="minorHAnsi" w:eastAsia="Times New Roman" w:hAnsiTheme="minorHAnsi"/>
          <w:color w:val="000000"/>
        </w:rPr>
      </w:pPr>
    </w:p>
    <w:p w14:paraId="30E13DFF" w14:textId="0A0DEBE1" w:rsidR="00925DB1" w:rsidRPr="00CB1460" w:rsidRDefault="00540386" w:rsidP="00D41CB5">
      <w:pPr>
        <w:jc w:val="both"/>
        <w:rPr>
          <w:rFonts w:asciiTheme="minorHAnsi" w:eastAsia="Times New Roman" w:hAnsiTheme="minorHAnsi"/>
          <w:b/>
          <w:color w:val="000000"/>
        </w:rPr>
      </w:pPr>
      <w:r>
        <w:rPr>
          <w:rFonts w:asciiTheme="minorHAnsi" w:eastAsia="Times New Roman" w:hAnsiTheme="minorHAnsi"/>
          <w:b/>
          <w:color w:val="000000"/>
        </w:rPr>
        <w:t xml:space="preserve">Multiple Equilibria </w:t>
      </w:r>
    </w:p>
    <w:p w14:paraId="585350AC" w14:textId="39C22F9F" w:rsidR="002F4D90" w:rsidRDefault="00FD76F4" w:rsidP="00C02956">
      <w:pPr>
        <w:jc w:val="both"/>
        <w:rPr>
          <w:rFonts w:asciiTheme="minorHAnsi" w:eastAsia="Times New Roman" w:hAnsiTheme="minorHAnsi"/>
        </w:rPr>
      </w:pPr>
      <w:r w:rsidRPr="00CB1460">
        <w:rPr>
          <w:rFonts w:asciiTheme="minorHAnsi" w:eastAsia="Times New Roman" w:hAnsiTheme="minorHAnsi"/>
        </w:rPr>
        <w:t>If, as argued above, t</w:t>
      </w:r>
      <w:r w:rsidR="00143990">
        <w:rPr>
          <w:rFonts w:asciiTheme="minorHAnsi" w:eastAsia="Times New Roman" w:hAnsiTheme="minorHAnsi"/>
        </w:rPr>
        <w:t>he evidence rules out the usual</w:t>
      </w:r>
      <w:r w:rsidR="004D109C">
        <w:rPr>
          <w:rFonts w:asciiTheme="minorHAnsi" w:eastAsia="Times New Roman" w:hAnsiTheme="minorHAnsi"/>
        </w:rPr>
        <w:t xml:space="preserve"> suspects</w:t>
      </w:r>
      <w:r w:rsidR="00143990">
        <w:rPr>
          <w:rFonts w:asciiTheme="minorHAnsi" w:eastAsia="Times New Roman" w:hAnsiTheme="minorHAnsi"/>
        </w:rPr>
        <w:t xml:space="preserve">, </w:t>
      </w:r>
      <w:r w:rsidRPr="00CB1460">
        <w:rPr>
          <w:rFonts w:asciiTheme="minorHAnsi" w:eastAsia="Times New Roman" w:hAnsiTheme="minorHAnsi"/>
        </w:rPr>
        <w:t>what actually caused the G</w:t>
      </w:r>
      <w:r w:rsidR="00454BAC">
        <w:rPr>
          <w:rFonts w:asciiTheme="minorHAnsi" w:eastAsia="Times New Roman" w:hAnsiTheme="minorHAnsi"/>
        </w:rPr>
        <w:t>R</w:t>
      </w:r>
      <w:r w:rsidR="00DD453D">
        <w:rPr>
          <w:rFonts w:asciiTheme="minorHAnsi" w:eastAsia="Times New Roman" w:hAnsiTheme="minorHAnsi"/>
        </w:rPr>
        <w:t>, whose size, itself, seems to have been hyped</w:t>
      </w:r>
      <w:r w:rsidRPr="00CB1460">
        <w:rPr>
          <w:rFonts w:asciiTheme="minorHAnsi" w:eastAsia="Times New Roman" w:hAnsiTheme="minorHAnsi"/>
        </w:rPr>
        <w:t xml:space="preserve">? </w:t>
      </w:r>
      <w:r w:rsidR="00143990">
        <w:rPr>
          <w:rFonts w:asciiTheme="minorHAnsi" w:eastAsia="Times New Roman" w:hAnsiTheme="minorHAnsi"/>
        </w:rPr>
        <w:t xml:space="preserve">My answer is </w:t>
      </w:r>
      <w:r w:rsidR="00DD453D">
        <w:rPr>
          <w:rFonts w:asciiTheme="minorHAnsi" w:eastAsia="Times New Roman" w:hAnsiTheme="minorHAnsi"/>
        </w:rPr>
        <w:t>multiple equilibrium</w:t>
      </w:r>
      <w:r w:rsidR="00F72E17">
        <w:rPr>
          <w:rFonts w:asciiTheme="minorHAnsi" w:eastAsia="Times New Roman" w:hAnsiTheme="minorHAnsi"/>
        </w:rPr>
        <w:t>, broadly defined</w:t>
      </w:r>
      <w:r w:rsidR="00DD453D">
        <w:rPr>
          <w:rFonts w:asciiTheme="minorHAnsi" w:eastAsia="Times New Roman" w:hAnsiTheme="minorHAnsi"/>
        </w:rPr>
        <w:t>. S</w:t>
      </w:r>
      <w:r w:rsidR="00563E59" w:rsidRPr="00CB1460">
        <w:rPr>
          <w:rFonts w:asciiTheme="minorHAnsi" w:eastAsia="Times New Roman" w:hAnsiTheme="minorHAnsi"/>
        </w:rPr>
        <w:t>heer panic</w:t>
      </w:r>
      <w:r w:rsidR="00540386">
        <w:rPr>
          <w:rFonts w:asciiTheme="minorHAnsi" w:eastAsia="Times New Roman" w:hAnsiTheme="minorHAnsi"/>
        </w:rPr>
        <w:t xml:space="preserve">, </w:t>
      </w:r>
      <w:r w:rsidR="00DD453D">
        <w:rPr>
          <w:rFonts w:asciiTheme="minorHAnsi" w:eastAsia="Times New Roman" w:hAnsiTheme="minorHAnsi"/>
        </w:rPr>
        <w:t xml:space="preserve">facilitated by opacity, false rumors, misinformation, exaggeration and </w:t>
      </w:r>
      <w:r w:rsidR="00540386">
        <w:rPr>
          <w:rFonts w:asciiTheme="minorHAnsi" w:eastAsia="Times New Roman" w:hAnsiTheme="minorHAnsi"/>
        </w:rPr>
        <w:t>a</w:t>
      </w:r>
      <w:r w:rsidR="003077C0">
        <w:rPr>
          <w:rFonts w:asciiTheme="minorHAnsi" w:eastAsia="Times New Roman" w:hAnsiTheme="minorHAnsi"/>
        </w:rPr>
        <w:t xml:space="preserve"> strong assist from interested parties, </w:t>
      </w:r>
      <w:r w:rsidR="007019C8">
        <w:rPr>
          <w:rFonts w:asciiTheme="minorHAnsi" w:eastAsia="Times New Roman" w:hAnsiTheme="minorHAnsi"/>
        </w:rPr>
        <w:t xml:space="preserve">flipped the economy </w:t>
      </w:r>
      <w:r w:rsidR="00143990">
        <w:rPr>
          <w:rFonts w:asciiTheme="minorHAnsi" w:eastAsia="Times New Roman" w:hAnsiTheme="minorHAnsi"/>
        </w:rPr>
        <w:t xml:space="preserve">to a </w:t>
      </w:r>
      <w:r w:rsidR="00161E03">
        <w:rPr>
          <w:rFonts w:asciiTheme="minorHAnsi" w:eastAsia="Times New Roman" w:hAnsiTheme="minorHAnsi"/>
        </w:rPr>
        <w:t xml:space="preserve">very </w:t>
      </w:r>
      <w:r w:rsidR="00143990">
        <w:rPr>
          <w:rFonts w:asciiTheme="minorHAnsi" w:eastAsia="Times New Roman" w:hAnsiTheme="minorHAnsi"/>
        </w:rPr>
        <w:t xml:space="preserve">bad equilibrium. </w:t>
      </w:r>
      <w:r w:rsidR="00763EEF">
        <w:rPr>
          <w:rFonts w:asciiTheme="minorHAnsi" w:eastAsia="Times New Roman" w:hAnsiTheme="minorHAnsi"/>
        </w:rPr>
        <w:t>T</w:t>
      </w:r>
      <w:r w:rsidR="009B4967" w:rsidRPr="00CB1460">
        <w:rPr>
          <w:rFonts w:asciiTheme="minorHAnsi" w:eastAsia="Times New Roman" w:hAnsiTheme="minorHAnsi"/>
        </w:rPr>
        <w:t>his diagnosis</w:t>
      </w:r>
      <w:r w:rsidR="000745F3" w:rsidRPr="00CB1460">
        <w:rPr>
          <w:rFonts w:asciiTheme="minorHAnsi" w:eastAsia="Times New Roman" w:hAnsiTheme="minorHAnsi"/>
        </w:rPr>
        <w:t xml:space="preserve"> implie</w:t>
      </w:r>
      <w:r w:rsidR="00FA0C07">
        <w:rPr>
          <w:rFonts w:asciiTheme="minorHAnsi" w:eastAsia="Times New Roman" w:hAnsiTheme="minorHAnsi"/>
        </w:rPr>
        <w:t>s</w:t>
      </w:r>
      <w:r w:rsidR="00C14672" w:rsidRPr="00CB1460">
        <w:rPr>
          <w:rFonts w:asciiTheme="minorHAnsi" w:eastAsia="Times New Roman" w:hAnsiTheme="minorHAnsi"/>
        </w:rPr>
        <w:t xml:space="preserve"> a deep structural problem i</w:t>
      </w:r>
      <w:r w:rsidR="00590E9B">
        <w:rPr>
          <w:rFonts w:asciiTheme="minorHAnsi" w:eastAsia="Times New Roman" w:hAnsiTheme="minorHAnsi"/>
        </w:rPr>
        <w:t xml:space="preserve">n the financial system --- </w:t>
      </w:r>
      <w:r w:rsidR="00454BAC">
        <w:rPr>
          <w:rFonts w:asciiTheme="minorHAnsi" w:eastAsia="Times New Roman" w:hAnsiTheme="minorHAnsi"/>
        </w:rPr>
        <w:t xml:space="preserve">one </w:t>
      </w:r>
      <w:r w:rsidR="00590E9B">
        <w:rPr>
          <w:rFonts w:asciiTheme="minorHAnsi" w:eastAsia="Times New Roman" w:hAnsiTheme="minorHAnsi"/>
        </w:rPr>
        <w:t xml:space="preserve">that </w:t>
      </w:r>
      <w:r w:rsidR="00964008">
        <w:rPr>
          <w:rFonts w:asciiTheme="minorHAnsi" w:eastAsia="Times New Roman" w:hAnsiTheme="minorHAnsi"/>
        </w:rPr>
        <w:t xml:space="preserve">seemingly </w:t>
      </w:r>
      <w:r w:rsidR="00C14672" w:rsidRPr="00CB1460">
        <w:rPr>
          <w:rFonts w:asciiTheme="minorHAnsi" w:eastAsia="Times New Roman" w:hAnsiTheme="minorHAnsi"/>
        </w:rPr>
        <w:t xml:space="preserve">can’t be addressed </w:t>
      </w:r>
      <w:r w:rsidR="00964008">
        <w:rPr>
          <w:rFonts w:asciiTheme="minorHAnsi" w:eastAsia="Times New Roman" w:hAnsiTheme="minorHAnsi"/>
        </w:rPr>
        <w:t xml:space="preserve">by </w:t>
      </w:r>
      <w:r w:rsidR="00737B35" w:rsidRPr="00CB1460">
        <w:rPr>
          <w:rFonts w:asciiTheme="minorHAnsi" w:eastAsia="Times New Roman" w:hAnsiTheme="minorHAnsi"/>
        </w:rPr>
        <w:t xml:space="preserve">Dodd-Frank or </w:t>
      </w:r>
      <w:r w:rsidR="002F4D90" w:rsidRPr="00CB1460">
        <w:rPr>
          <w:rFonts w:asciiTheme="minorHAnsi" w:eastAsia="Times New Roman" w:hAnsiTheme="minorHAnsi"/>
        </w:rPr>
        <w:t>similar reforms</w:t>
      </w:r>
      <w:r w:rsidR="00ED3AA0" w:rsidRPr="00CB1460">
        <w:rPr>
          <w:rFonts w:asciiTheme="minorHAnsi" w:eastAsia="Times New Roman" w:hAnsiTheme="minorHAnsi"/>
        </w:rPr>
        <w:t xml:space="preserve"> </w:t>
      </w:r>
      <w:r w:rsidR="006043DF">
        <w:rPr>
          <w:rFonts w:asciiTheme="minorHAnsi" w:eastAsia="Times New Roman" w:hAnsiTheme="minorHAnsi"/>
        </w:rPr>
        <w:t xml:space="preserve">proposed or </w:t>
      </w:r>
      <w:r w:rsidR="00ED3AA0" w:rsidRPr="00CB1460">
        <w:rPr>
          <w:rFonts w:asciiTheme="minorHAnsi" w:eastAsia="Times New Roman" w:hAnsiTheme="minorHAnsi"/>
        </w:rPr>
        <w:t>enacted</w:t>
      </w:r>
      <w:r w:rsidR="002F4D90" w:rsidRPr="00CB1460">
        <w:rPr>
          <w:rFonts w:asciiTheme="minorHAnsi" w:eastAsia="Times New Roman" w:hAnsiTheme="minorHAnsi"/>
        </w:rPr>
        <w:t xml:space="preserve"> in Europe.</w:t>
      </w:r>
      <w:r w:rsidR="006043DF">
        <w:rPr>
          <w:rStyle w:val="FootnoteReference"/>
          <w:rFonts w:asciiTheme="minorHAnsi" w:eastAsia="Times New Roman" w:hAnsiTheme="minorHAnsi"/>
        </w:rPr>
        <w:footnoteReference w:id="47"/>
      </w:r>
      <w:r w:rsidR="002F4D90" w:rsidRPr="00CB1460">
        <w:rPr>
          <w:rFonts w:asciiTheme="minorHAnsi" w:eastAsia="Times New Roman" w:hAnsiTheme="minorHAnsi"/>
        </w:rPr>
        <w:t xml:space="preserve"> </w:t>
      </w:r>
    </w:p>
    <w:p w14:paraId="718955D3" w14:textId="77777777" w:rsidR="00763EEF" w:rsidRDefault="00763EEF" w:rsidP="00C02956">
      <w:pPr>
        <w:jc w:val="both"/>
        <w:rPr>
          <w:rFonts w:asciiTheme="minorHAnsi" w:eastAsia="Times New Roman" w:hAnsiTheme="minorHAnsi"/>
        </w:rPr>
      </w:pPr>
    </w:p>
    <w:p w14:paraId="3CAE65A1" w14:textId="36EB2353" w:rsidR="00763EEF" w:rsidRPr="00CB1460" w:rsidRDefault="00763EEF" w:rsidP="00C02956">
      <w:pPr>
        <w:jc w:val="both"/>
        <w:rPr>
          <w:rFonts w:asciiTheme="minorHAnsi" w:eastAsia="Times New Roman" w:hAnsiTheme="minorHAnsi"/>
        </w:rPr>
      </w:pPr>
      <w:r>
        <w:rPr>
          <w:rFonts w:asciiTheme="minorHAnsi" w:eastAsia="Times New Roman" w:hAnsiTheme="minorHAnsi"/>
        </w:rPr>
        <w:t xml:space="preserve">Economist has many theories of economies rapidly flipping from good to bad. They </w:t>
      </w:r>
      <w:r w:rsidR="007019C8">
        <w:rPr>
          <w:rFonts w:asciiTheme="minorHAnsi" w:eastAsia="Times New Roman" w:hAnsiTheme="minorHAnsi"/>
        </w:rPr>
        <w:t xml:space="preserve">go under the headings </w:t>
      </w:r>
      <w:r>
        <w:rPr>
          <w:rFonts w:asciiTheme="minorHAnsi" w:eastAsia="Times New Roman" w:hAnsiTheme="minorHAnsi"/>
        </w:rPr>
        <w:t xml:space="preserve">multiple equilibrium, </w:t>
      </w:r>
      <w:r w:rsidRPr="00CB1460">
        <w:rPr>
          <w:rFonts w:asciiTheme="minorHAnsi" w:hAnsiTheme="minorHAnsi"/>
        </w:rPr>
        <w:t xml:space="preserve">contagion, self-fulfilling prophecy, </w:t>
      </w:r>
      <w:r w:rsidR="008E467F">
        <w:rPr>
          <w:rFonts w:asciiTheme="minorHAnsi" w:hAnsiTheme="minorHAnsi"/>
        </w:rPr>
        <w:t xml:space="preserve">panics, </w:t>
      </w:r>
      <w:r w:rsidRPr="00CB1460">
        <w:rPr>
          <w:rFonts w:asciiTheme="minorHAnsi" w:hAnsiTheme="minorHAnsi"/>
        </w:rPr>
        <w:t>coordination failures,</w:t>
      </w:r>
      <w:r w:rsidR="00324020">
        <w:rPr>
          <w:rFonts w:asciiTheme="minorHAnsi" w:hAnsiTheme="minorHAnsi"/>
        </w:rPr>
        <w:t xml:space="preserve"> strategic complementarities,</w:t>
      </w:r>
      <w:r w:rsidRPr="00CB1460">
        <w:rPr>
          <w:rFonts w:asciiTheme="minorHAnsi" w:hAnsiTheme="minorHAnsi"/>
        </w:rPr>
        <w:t xml:space="preserve"> sun spot equilibria, collective action, </w:t>
      </w:r>
      <w:r w:rsidR="003077C0">
        <w:rPr>
          <w:rFonts w:asciiTheme="minorHAnsi" w:hAnsiTheme="minorHAnsi"/>
        </w:rPr>
        <w:t xml:space="preserve">social learning, </w:t>
      </w:r>
      <w:r>
        <w:rPr>
          <w:rFonts w:asciiTheme="minorHAnsi" w:hAnsiTheme="minorHAnsi"/>
        </w:rPr>
        <w:t>and herding</w:t>
      </w:r>
      <w:r w:rsidRPr="00CB1460">
        <w:rPr>
          <w:rFonts w:asciiTheme="minorHAnsi" w:hAnsiTheme="minorHAnsi"/>
        </w:rPr>
        <w:t xml:space="preserve">. </w:t>
      </w:r>
      <w:r>
        <w:rPr>
          <w:rFonts w:asciiTheme="minorHAnsi" w:eastAsia="Times New Roman" w:hAnsiTheme="minorHAnsi"/>
        </w:rPr>
        <w:t xml:space="preserve"> </w:t>
      </w:r>
      <w:r w:rsidR="00F72E17">
        <w:rPr>
          <w:rFonts w:asciiTheme="minorHAnsi" w:eastAsia="Times New Roman" w:hAnsiTheme="minorHAnsi"/>
        </w:rPr>
        <w:t xml:space="preserve">Below I reference all these mechanisms for rapid economic transformation as “multiple equilibrium,” rather than sticking with a narrow, technical definition of multiple equilibrium as more than one solution to a given model’s equations. </w:t>
      </w:r>
    </w:p>
    <w:p w14:paraId="777AE9B0" w14:textId="77777777" w:rsidR="00895AAD" w:rsidRPr="00CB1460" w:rsidRDefault="00895AAD" w:rsidP="00C02956">
      <w:pPr>
        <w:jc w:val="both"/>
        <w:rPr>
          <w:rFonts w:asciiTheme="minorHAnsi" w:eastAsia="Times New Roman" w:hAnsiTheme="minorHAnsi"/>
        </w:rPr>
      </w:pPr>
    </w:p>
    <w:p w14:paraId="4029DD76" w14:textId="6964CD20" w:rsidR="00B81EFC" w:rsidRPr="00CB1460" w:rsidRDefault="00895AAD" w:rsidP="00C02956">
      <w:pPr>
        <w:jc w:val="both"/>
        <w:rPr>
          <w:rFonts w:asciiTheme="minorHAnsi" w:eastAsia="Times New Roman" w:hAnsiTheme="minorHAnsi"/>
        </w:rPr>
      </w:pPr>
      <w:r w:rsidRPr="00CB1460">
        <w:rPr>
          <w:rFonts w:asciiTheme="minorHAnsi" w:eastAsia="Times New Roman" w:hAnsiTheme="minorHAnsi"/>
        </w:rPr>
        <w:t xml:space="preserve">The </w:t>
      </w:r>
      <w:r w:rsidR="007F33A4" w:rsidRPr="00CB1460">
        <w:rPr>
          <w:rFonts w:asciiTheme="minorHAnsi" w:eastAsia="Times New Roman" w:hAnsiTheme="minorHAnsi"/>
        </w:rPr>
        <w:t xml:space="preserve">fact that the foundational bank-run models </w:t>
      </w:r>
      <w:r w:rsidR="00512779">
        <w:rPr>
          <w:rFonts w:asciiTheme="minorHAnsi" w:eastAsia="Times New Roman" w:hAnsiTheme="minorHAnsi"/>
        </w:rPr>
        <w:t xml:space="preserve">--- </w:t>
      </w:r>
      <w:r w:rsidR="008C166B">
        <w:rPr>
          <w:rFonts w:asciiTheme="minorHAnsi" w:eastAsia="Times New Roman" w:hAnsiTheme="minorHAnsi"/>
        </w:rPr>
        <w:t xml:space="preserve">Bryant (1980), </w:t>
      </w:r>
      <w:r w:rsidR="00512779" w:rsidRPr="00CB1460">
        <w:rPr>
          <w:rFonts w:asciiTheme="minorHAnsi" w:eastAsia="Times New Roman" w:hAnsiTheme="minorHAnsi"/>
        </w:rPr>
        <w:t>Diamond-Dybvig (1983)</w:t>
      </w:r>
      <w:r w:rsidR="003957D8">
        <w:rPr>
          <w:rFonts w:asciiTheme="minorHAnsi" w:eastAsia="Times New Roman" w:hAnsiTheme="minorHAnsi"/>
        </w:rPr>
        <w:t>,</w:t>
      </w:r>
      <w:r w:rsidR="008C166B">
        <w:rPr>
          <w:rFonts w:asciiTheme="minorHAnsi" w:eastAsia="Times New Roman" w:hAnsiTheme="minorHAnsi"/>
        </w:rPr>
        <w:t xml:space="preserve"> </w:t>
      </w:r>
      <w:r w:rsidR="003957D8">
        <w:rPr>
          <w:rFonts w:asciiTheme="minorHAnsi" w:eastAsia="Times New Roman" w:hAnsiTheme="minorHAnsi"/>
        </w:rPr>
        <w:t>Pech and Shell (2003) and related models</w:t>
      </w:r>
      <w:r w:rsidR="00512779">
        <w:rPr>
          <w:rFonts w:asciiTheme="minorHAnsi" w:eastAsia="Times New Roman" w:hAnsiTheme="minorHAnsi"/>
        </w:rPr>
        <w:t xml:space="preserve"> – admit </w:t>
      </w:r>
      <w:r w:rsidR="008E467F">
        <w:rPr>
          <w:rFonts w:asciiTheme="minorHAnsi" w:eastAsia="Times New Roman" w:hAnsiTheme="minorHAnsi"/>
        </w:rPr>
        <w:t xml:space="preserve">multiple equilibrium in which </w:t>
      </w:r>
      <w:r w:rsidR="00384F8D">
        <w:rPr>
          <w:rFonts w:asciiTheme="minorHAnsi" w:eastAsia="Times New Roman" w:hAnsiTheme="minorHAnsi"/>
        </w:rPr>
        <w:t>financial-</w:t>
      </w:r>
      <w:r w:rsidR="00104961">
        <w:rPr>
          <w:rFonts w:asciiTheme="minorHAnsi" w:eastAsia="Times New Roman" w:hAnsiTheme="minorHAnsi"/>
        </w:rPr>
        <w:t>market</w:t>
      </w:r>
      <w:r w:rsidR="00692AC8" w:rsidRPr="00CB1460">
        <w:rPr>
          <w:rFonts w:asciiTheme="minorHAnsi" w:eastAsia="Times New Roman" w:hAnsiTheme="minorHAnsi"/>
        </w:rPr>
        <w:t xml:space="preserve"> </w:t>
      </w:r>
      <w:r w:rsidR="00171EF3" w:rsidRPr="00CB1460">
        <w:rPr>
          <w:rFonts w:asciiTheme="minorHAnsi" w:eastAsia="Times New Roman" w:hAnsiTheme="minorHAnsi"/>
        </w:rPr>
        <w:lastRenderedPageBreak/>
        <w:t xml:space="preserve">collapse </w:t>
      </w:r>
      <w:r w:rsidR="008E467F">
        <w:rPr>
          <w:rFonts w:asciiTheme="minorHAnsi" w:eastAsia="Times New Roman" w:hAnsiTheme="minorHAnsi"/>
        </w:rPr>
        <w:t xml:space="preserve">arises absent any </w:t>
      </w:r>
      <w:r w:rsidR="00512779">
        <w:rPr>
          <w:rFonts w:asciiTheme="minorHAnsi" w:eastAsia="Times New Roman" w:hAnsiTheme="minorHAnsi"/>
        </w:rPr>
        <w:t xml:space="preserve">fundamental financial- or real-sector problem </w:t>
      </w:r>
      <w:r w:rsidR="0016476E" w:rsidRPr="00CB1460">
        <w:rPr>
          <w:rFonts w:asciiTheme="minorHAnsi" w:eastAsia="Times New Roman" w:hAnsiTheme="minorHAnsi"/>
        </w:rPr>
        <w:t>is striking</w:t>
      </w:r>
      <w:r w:rsidR="00692AC8" w:rsidRPr="00CB1460">
        <w:rPr>
          <w:rFonts w:asciiTheme="minorHAnsi" w:eastAsia="Times New Roman" w:hAnsiTheme="minorHAnsi"/>
        </w:rPr>
        <w:t>.</w:t>
      </w:r>
      <w:r w:rsidR="00C621AD">
        <w:rPr>
          <w:rStyle w:val="FootnoteReference"/>
          <w:rFonts w:asciiTheme="minorHAnsi" w:eastAsia="Times New Roman" w:hAnsiTheme="minorHAnsi"/>
        </w:rPr>
        <w:footnoteReference w:id="48"/>
      </w:r>
      <w:r w:rsidR="00692AC8" w:rsidRPr="00CB1460">
        <w:rPr>
          <w:rFonts w:asciiTheme="minorHAnsi" w:eastAsia="Times New Roman" w:hAnsiTheme="minorHAnsi"/>
        </w:rPr>
        <w:t xml:space="preserve"> </w:t>
      </w:r>
      <w:r w:rsidR="008E467F">
        <w:rPr>
          <w:rFonts w:asciiTheme="minorHAnsi" w:eastAsia="Times New Roman" w:hAnsiTheme="minorHAnsi"/>
        </w:rPr>
        <w:t xml:space="preserve">These models tell us </w:t>
      </w:r>
      <w:r w:rsidR="0016476E" w:rsidRPr="00CB1460">
        <w:rPr>
          <w:rFonts w:asciiTheme="minorHAnsi" w:eastAsia="Times New Roman" w:hAnsiTheme="minorHAnsi"/>
        </w:rPr>
        <w:t xml:space="preserve">that </w:t>
      </w:r>
      <w:r w:rsidR="003B71B0" w:rsidRPr="00CB1460">
        <w:rPr>
          <w:rFonts w:asciiTheme="minorHAnsi" w:eastAsia="Times New Roman" w:hAnsiTheme="minorHAnsi"/>
        </w:rPr>
        <w:t>a bank run</w:t>
      </w:r>
      <w:r w:rsidR="009663E0">
        <w:rPr>
          <w:rFonts w:asciiTheme="minorHAnsi" w:eastAsia="Times New Roman" w:hAnsiTheme="minorHAnsi"/>
        </w:rPr>
        <w:t xml:space="preserve"> </w:t>
      </w:r>
      <w:r w:rsidR="007F6A61" w:rsidRPr="00CB1460">
        <w:rPr>
          <w:rFonts w:asciiTheme="minorHAnsi" w:eastAsia="Times New Roman" w:hAnsiTheme="minorHAnsi"/>
        </w:rPr>
        <w:t xml:space="preserve">can arise as naturally as </w:t>
      </w:r>
      <w:r w:rsidR="00380C77" w:rsidRPr="00CB1460">
        <w:rPr>
          <w:rFonts w:asciiTheme="minorHAnsi" w:eastAsia="Times New Roman" w:hAnsiTheme="minorHAnsi"/>
        </w:rPr>
        <w:t>not</w:t>
      </w:r>
      <w:r w:rsidR="00C004A8" w:rsidRPr="00CB1460">
        <w:rPr>
          <w:rFonts w:asciiTheme="minorHAnsi" w:eastAsia="Times New Roman" w:hAnsiTheme="minorHAnsi"/>
        </w:rPr>
        <w:t>.</w:t>
      </w:r>
      <w:r w:rsidR="00CC1093">
        <w:rPr>
          <w:rStyle w:val="FootnoteReference"/>
          <w:rFonts w:asciiTheme="minorHAnsi" w:eastAsia="Times New Roman" w:hAnsiTheme="minorHAnsi"/>
        </w:rPr>
        <w:footnoteReference w:id="49"/>
      </w:r>
      <w:r w:rsidR="00C004A8" w:rsidRPr="00CB1460">
        <w:rPr>
          <w:rFonts w:asciiTheme="minorHAnsi" w:eastAsia="Times New Roman" w:hAnsiTheme="minorHAnsi"/>
        </w:rPr>
        <w:t xml:space="preserve"> </w:t>
      </w:r>
      <w:r w:rsidR="007F6A61" w:rsidRPr="00CB1460">
        <w:rPr>
          <w:rFonts w:asciiTheme="minorHAnsi" w:eastAsia="Times New Roman" w:hAnsiTheme="minorHAnsi"/>
        </w:rPr>
        <w:t xml:space="preserve">They also tell us that the banking system is inherently built to fail and that focusing exclusively on the models’ good equilibrium is folly. </w:t>
      </w:r>
      <w:r w:rsidR="00855053">
        <w:rPr>
          <w:rFonts w:asciiTheme="minorHAnsi" w:eastAsia="Times New Roman" w:hAnsiTheme="minorHAnsi"/>
        </w:rPr>
        <w:t>I.e., from the perspective of these models, the question is not whet</w:t>
      </w:r>
      <w:r w:rsidR="00A409F1">
        <w:rPr>
          <w:rFonts w:asciiTheme="minorHAnsi" w:eastAsia="Times New Roman" w:hAnsiTheme="minorHAnsi"/>
        </w:rPr>
        <w:t>her the banking system will fail</w:t>
      </w:r>
      <w:r w:rsidR="00855053">
        <w:rPr>
          <w:rFonts w:asciiTheme="minorHAnsi" w:eastAsia="Times New Roman" w:hAnsiTheme="minorHAnsi"/>
        </w:rPr>
        <w:t xml:space="preserve">, </w:t>
      </w:r>
      <w:r w:rsidR="00A409F1">
        <w:rPr>
          <w:rFonts w:asciiTheme="minorHAnsi" w:eastAsia="Times New Roman" w:hAnsiTheme="minorHAnsi"/>
        </w:rPr>
        <w:t xml:space="preserve">but </w:t>
      </w:r>
      <w:r w:rsidR="00855053">
        <w:rPr>
          <w:rFonts w:asciiTheme="minorHAnsi" w:eastAsia="Times New Roman" w:hAnsiTheme="minorHAnsi"/>
        </w:rPr>
        <w:t xml:space="preserve">when. </w:t>
      </w:r>
      <w:r w:rsidR="00C004A8" w:rsidRPr="00CB1460">
        <w:rPr>
          <w:rFonts w:asciiTheme="minorHAnsi" w:eastAsia="Times New Roman" w:hAnsiTheme="minorHAnsi"/>
        </w:rPr>
        <w:t>Hence, it</w:t>
      </w:r>
      <w:r w:rsidR="003D23DE" w:rsidRPr="00CB1460">
        <w:rPr>
          <w:rFonts w:asciiTheme="minorHAnsi" w:eastAsia="Times New Roman" w:hAnsiTheme="minorHAnsi"/>
        </w:rPr>
        <w:t>’s passing strange that the FCIC report makes no mention whatsoever of either paper</w:t>
      </w:r>
      <w:r w:rsidR="007F6A61" w:rsidRPr="00CB1460">
        <w:rPr>
          <w:rFonts w:asciiTheme="minorHAnsi" w:eastAsia="Times New Roman" w:hAnsiTheme="minorHAnsi"/>
        </w:rPr>
        <w:t>, let alone the theory underlying bank runs</w:t>
      </w:r>
      <w:r w:rsidR="003D23DE" w:rsidRPr="00CB1460">
        <w:rPr>
          <w:rFonts w:asciiTheme="minorHAnsi" w:eastAsia="Times New Roman" w:hAnsiTheme="minorHAnsi"/>
        </w:rPr>
        <w:t xml:space="preserve">. </w:t>
      </w:r>
      <w:r w:rsidR="00CD5C81" w:rsidRPr="00CB1460">
        <w:rPr>
          <w:rFonts w:asciiTheme="minorHAnsi" w:eastAsia="Times New Roman" w:hAnsiTheme="minorHAnsi"/>
        </w:rPr>
        <w:t>This is akin to the F</w:t>
      </w:r>
      <w:r w:rsidR="003F7670" w:rsidRPr="00CB1460">
        <w:rPr>
          <w:rFonts w:asciiTheme="minorHAnsi" w:eastAsia="Times New Roman" w:hAnsiTheme="minorHAnsi"/>
        </w:rPr>
        <w:t>ede</w:t>
      </w:r>
      <w:r w:rsidR="0042043F" w:rsidRPr="00CB1460">
        <w:rPr>
          <w:rFonts w:asciiTheme="minorHAnsi" w:eastAsia="Times New Roman" w:hAnsiTheme="minorHAnsi"/>
        </w:rPr>
        <w:t>r</w:t>
      </w:r>
      <w:r w:rsidR="003F7670" w:rsidRPr="00CB1460">
        <w:rPr>
          <w:rFonts w:asciiTheme="minorHAnsi" w:eastAsia="Times New Roman" w:hAnsiTheme="minorHAnsi"/>
        </w:rPr>
        <w:t>a</w:t>
      </w:r>
      <w:r w:rsidR="0042043F" w:rsidRPr="00CB1460">
        <w:rPr>
          <w:rFonts w:asciiTheme="minorHAnsi" w:eastAsia="Times New Roman" w:hAnsiTheme="minorHAnsi"/>
        </w:rPr>
        <w:t xml:space="preserve">l Aviation Administration </w:t>
      </w:r>
      <w:r w:rsidR="00C03AB9">
        <w:rPr>
          <w:rFonts w:asciiTheme="minorHAnsi" w:eastAsia="Times New Roman" w:hAnsiTheme="minorHAnsi"/>
        </w:rPr>
        <w:t xml:space="preserve">investigating a plane crash due to structural failure </w:t>
      </w:r>
      <w:r w:rsidR="00A409F1">
        <w:rPr>
          <w:rFonts w:asciiTheme="minorHAnsi" w:eastAsia="Times New Roman" w:hAnsiTheme="minorHAnsi"/>
        </w:rPr>
        <w:t>without referencing</w:t>
      </w:r>
      <w:r w:rsidR="0042043F" w:rsidRPr="00CB1460">
        <w:rPr>
          <w:rFonts w:asciiTheme="minorHAnsi" w:eastAsia="Times New Roman" w:hAnsiTheme="minorHAnsi"/>
        </w:rPr>
        <w:t xml:space="preserve"> its b</w:t>
      </w:r>
      <w:r w:rsidR="00CD5C81" w:rsidRPr="00CB1460">
        <w:rPr>
          <w:rFonts w:asciiTheme="minorHAnsi" w:eastAsia="Times New Roman" w:hAnsiTheme="minorHAnsi"/>
        </w:rPr>
        <w:t xml:space="preserve">lueprints. </w:t>
      </w:r>
      <w:r w:rsidR="003F7670" w:rsidRPr="00CB1460">
        <w:rPr>
          <w:rFonts w:asciiTheme="minorHAnsi" w:eastAsia="Times New Roman" w:hAnsiTheme="minorHAnsi"/>
        </w:rPr>
        <w:t>This, presumably, reflects the makeup of the FCIC</w:t>
      </w:r>
      <w:r w:rsidR="00C03AB9">
        <w:rPr>
          <w:rFonts w:asciiTheme="minorHAnsi" w:eastAsia="Times New Roman" w:hAnsiTheme="minorHAnsi"/>
        </w:rPr>
        <w:t xml:space="preserve"> </w:t>
      </w:r>
      <w:r w:rsidR="005D30E2" w:rsidRPr="00CB1460">
        <w:rPr>
          <w:rFonts w:asciiTheme="minorHAnsi" w:eastAsia="Times New Roman" w:hAnsiTheme="minorHAnsi"/>
        </w:rPr>
        <w:t xml:space="preserve">whose ten members included just </w:t>
      </w:r>
      <w:r w:rsidR="00477B13" w:rsidRPr="00CB1460">
        <w:rPr>
          <w:rFonts w:asciiTheme="minorHAnsi" w:eastAsia="Times New Roman" w:hAnsiTheme="minorHAnsi"/>
        </w:rPr>
        <w:t>one economist</w:t>
      </w:r>
      <w:r w:rsidR="00A32321">
        <w:rPr>
          <w:rFonts w:asciiTheme="minorHAnsi" w:eastAsia="Times New Roman" w:hAnsiTheme="minorHAnsi"/>
        </w:rPr>
        <w:t xml:space="preserve"> with no background in banking or finance, notwithstanding his general brilliance. </w:t>
      </w:r>
    </w:p>
    <w:p w14:paraId="5738EE8F" w14:textId="77777777" w:rsidR="007D3BED" w:rsidRPr="00CB1460" w:rsidRDefault="007D3BED" w:rsidP="00C02956">
      <w:pPr>
        <w:jc w:val="both"/>
        <w:rPr>
          <w:rFonts w:asciiTheme="minorHAnsi" w:eastAsia="Times New Roman" w:hAnsiTheme="minorHAnsi"/>
        </w:rPr>
      </w:pPr>
    </w:p>
    <w:p w14:paraId="248569C6" w14:textId="7254610B" w:rsidR="00542DA6" w:rsidRDefault="007C18ED" w:rsidP="00852F0F">
      <w:pPr>
        <w:jc w:val="both"/>
        <w:rPr>
          <w:rFonts w:asciiTheme="minorHAnsi" w:eastAsia="Times New Roman" w:hAnsiTheme="minorHAnsi" w:cs="Arial"/>
          <w:color w:val="222222"/>
          <w:shd w:val="clear" w:color="auto" w:fill="FFFFFF"/>
        </w:rPr>
      </w:pPr>
      <w:r w:rsidRPr="00CB1460">
        <w:rPr>
          <w:rFonts w:asciiTheme="minorHAnsi" w:eastAsia="Times New Roman" w:hAnsiTheme="minorHAnsi"/>
        </w:rPr>
        <w:t>The or</w:t>
      </w:r>
      <w:r w:rsidR="00587FC3">
        <w:rPr>
          <w:rFonts w:asciiTheme="minorHAnsi" w:eastAsia="Times New Roman" w:hAnsiTheme="minorHAnsi"/>
        </w:rPr>
        <w:t>iginal bank-run models are now four</w:t>
      </w:r>
      <w:r w:rsidRPr="00CB1460">
        <w:rPr>
          <w:rFonts w:asciiTheme="minorHAnsi" w:eastAsia="Times New Roman" w:hAnsiTheme="minorHAnsi"/>
        </w:rPr>
        <w:t xml:space="preserve"> dec</w:t>
      </w:r>
      <w:r w:rsidR="009663E0">
        <w:rPr>
          <w:rFonts w:asciiTheme="minorHAnsi" w:eastAsia="Times New Roman" w:hAnsiTheme="minorHAnsi"/>
        </w:rPr>
        <w:t xml:space="preserve">ades old. Other, more realistic versions have </w:t>
      </w:r>
      <w:r w:rsidR="00961601" w:rsidRPr="00CB1460">
        <w:rPr>
          <w:rFonts w:asciiTheme="minorHAnsi" w:eastAsia="Times New Roman" w:hAnsiTheme="minorHAnsi"/>
        </w:rPr>
        <w:t>emerged</w:t>
      </w:r>
      <w:r w:rsidRPr="00CB1460">
        <w:rPr>
          <w:rFonts w:asciiTheme="minorHAnsi" w:eastAsia="Times New Roman" w:hAnsiTheme="minorHAnsi"/>
        </w:rPr>
        <w:t xml:space="preserve">. </w:t>
      </w:r>
      <w:r w:rsidR="009663E0">
        <w:rPr>
          <w:rFonts w:asciiTheme="minorHAnsi" w:eastAsia="Times New Roman" w:hAnsiTheme="minorHAnsi"/>
        </w:rPr>
        <w:t xml:space="preserve">They too were </w:t>
      </w:r>
      <w:r w:rsidR="004A0979">
        <w:rPr>
          <w:rFonts w:asciiTheme="minorHAnsi" w:eastAsia="Times New Roman" w:hAnsiTheme="minorHAnsi"/>
        </w:rPr>
        <w:t xml:space="preserve">ignored by the FCIC. </w:t>
      </w:r>
      <w:r w:rsidRPr="00CB1460">
        <w:rPr>
          <w:rFonts w:asciiTheme="minorHAnsi" w:eastAsia="Times New Roman" w:hAnsiTheme="minorHAnsi"/>
        </w:rPr>
        <w:t>An example is Goldstein and Pauzner (2005)</w:t>
      </w:r>
      <w:r w:rsidR="00F936C0" w:rsidRPr="00CB1460">
        <w:rPr>
          <w:rFonts w:asciiTheme="minorHAnsi" w:eastAsia="Times New Roman" w:hAnsiTheme="minorHAnsi"/>
        </w:rPr>
        <w:t>, who model coordination failures in which</w:t>
      </w:r>
      <w:r w:rsidR="00852F0F" w:rsidRPr="00CB1460">
        <w:rPr>
          <w:rFonts w:asciiTheme="minorHAnsi" w:eastAsia="Times New Roman" w:hAnsiTheme="minorHAnsi"/>
        </w:rPr>
        <w:t xml:space="preserve"> agents react to publicly available news based, in part, on their beliefs about how other agents will react. Such news can be about economic fundamentals or, simply, that a firing run, which will affect fundamentals, is on.</w:t>
      </w:r>
      <w:r w:rsidR="00852F0F" w:rsidRPr="00CB1460">
        <w:rPr>
          <w:rStyle w:val="FootnoteReference"/>
          <w:rFonts w:asciiTheme="minorHAnsi" w:eastAsia="Times New Roman" w:hAnsiTheme="minorHAnsi"/>
          <w:i/>
        </w:rPr>
        <w:footnoteReference w:id="50"/>
      </w:r>
      <w:r w:rsidR="00852F0F" w:rsidRPr="00CB1460">
        <w:rPr>
          <w:rFonts w:asciiTheme="minorHAnsi" w:eastAsia="Times New Roman" w:hAnsiTheme="minorHAnsi"/>
        </w:rPr>
        <w:t xml:space="preserve"> </w:t>
      </w:r>
      <w:r w:rsidR="00C269B4" w:rsidRPr="00CB1460">
        <w:rPr>
          <w:rFonts w:asciiTheme="minorHAnsi" w:eastAsia="Times New Roman" w:hAnsiTheme="minorHAnsi" w:cs="Arial"/>
          <w:color w:val="222222"/>
          <w:shd w:val="clear" w:color="auto" w:fill="FFFFFF"/>
        </w:rPr>
        <w:t>Bebchuk</w:t>
      </w:r>
      <w:r w:rsidR="00C269B4">
        <w:rPr>
          <w:rFonts w:asciiTheme="minorHAnsi" w:eastAsia="Times New Roman" w:hAnsiTheme="minorHAnsi" w:cs="Arial"/>
          <w:color w:val="222222"/>
          <w:shd w:val="clear" w:color="auto" w:fill="FFFFFF"/>
        </w:rPr>
        <w:t xml:space="preserve"> and </w:t>
      </w:r>
      <w:r w:rsidR="00C269B4" w:rsidRPr="00CB1460">
        <w:rPr>
          <w:rFonts w:asciiTheme="minorHAnsi" w:eastAsia="Times New Roman" w:hAnsiTheme="minorHAnsi" w:cs="Arial"/>
          <w:color w:val="222222"/>
          <w:shd w:val="clear" w:color="auto" w:fill="FFFFFF"/>
        </w:rPr>
        <w:t>Goldstein</w:t>
      </w:r>
      <w:r w:rsidR="00542DA6">
        <w:rPr>
          <w:rFonts w:asciiTheme="minorHAnsi" w:eastAsia="Times New Roman" w:hAnsiTheme="minorHAnsi" w:cs="Arial"/>
          <w:color w:val="222222"/>
          <w:shd w:val="clear" w:color="auto" w:fill="FFFFFF"/>
        </w:rPr>
        <w:t xml:space="preserve"> (2011) </w:t>
      </w:r>
      <w:r w:rsidR="001D63D4">
        <w:rPr>
          <w:rFonts w:asciiTheme="minorHAnsi" w:eastAsia="Times New Roman" w:hAnsiTheme="minorHAnsi" w:cs="Arial"/>
          <w:color w:val="222222"/>
          <w:shd w:val="clear" w:color="auto" w:fill="FFFFFF"/>
        </w:rPr>
        <w:t xml:space="preserve">study </w:t>
      </w:r>
      <w:r w:rsidR="00F95C47">
        <w:rPr>
          <w:rFonts w:asciiTheme="minorHAnsi" w:eastAsia="Times New Roman" w:hAnsiTheme="minorHAnsi" w:cs="Arial"/>
          <w:color w:val="222222"/>
          <w:shd w:val="clear" w:color="auto" w:fill="FFFFFF"/>
        </w:rPr>
        <w:t xml:space="preserve">credit market freezes. Their focus is on banks supplying </w:t>
      </w:r>
      <w:r w:rsidR="00FD4452">
        <w:rPr>
          <w:rFonts w:asciiTheme="minorHAnsi" w:eastAsia="Times New Roman" w:hAnsiTheme="minorHAnsi" w:cs="Arial"/>
          <w:color w:val="222222"/>
          <w:shd w:val="clear" w:color="auto" w:fill="FFFFFF"/>
        </w:rPr>
        <w:t xml:space="preserve">defunding non-financial firms because they believe other banks are doing the same. They reference this as self-fulfilling credit freezes (credit freezes in which beliefs about other defunders are correct in equilibrium.) But their framework can applied to banks </w:t>
      </w:r>
      <w:r w:rsidR="0042163E">
        <w:rPr>
          <w:rFonts w:asciiTheme="minorHAnsi" w:eastAsia="Times New Roman" w:hAnsiTheme="minorHAnsi" w:cs="Arial"/>
          <w:color w:val="222222"/>
          <w:shd w:val="clear" w:color="auto" w:fill="FFFFFF"/>
        </w:rPr>
        <w:t>de</w:t>
      </w:r>
      <w:r w:rsidR="00FD4452">
        <w:rPr>
          <w:rFonts w:asciiTheme="minorHAnsi" w:eastAsia="Times New Roman" w:hAnsiTheme="minorHAnsi" w:cs="Arial"/>
          <w:color w:val="222222"/>
          <w:shd w:val="clear" w:color="auto" w:fill="FFFFFF"/>
        </w:rPr>
        <w:t xml:space="preserve">funding banks. </w:t>
      </w:r>
    </w:p>
    <w:p w14:paraId="04A0B217" w14:textId="77777777" w:rsidR="00C269B4" w:rsidRDefault="00C269B4" w:rsidP="00852F0F">
      <w:pPr>
        <w:jc w:val="both"/>
        <w:rPr>
          <w:rFonts w:asciiTheme="minorHAnsi" w:eastAsia="Times New Roman" w:hAnsiTheme="minorHAnsi"/>
        </w:rPr>
      </w:pPr>
    </w:p>
    <w:p w14:paraId="4D6D87EC" w14:textId="73C398B1" w:rsidR="00F9456D" w:rsidRDefault="00852F0F" w:rsidP="00852F0F">
      <w:pPr>
        <w:jc w:val="both"/>
        <w:rPr>
          <w:rFonts w:asciiTheme="minorHAnsi" w:eastAsia="Times New Roman" w:hAnsiTheme="minorHAnsi"/>
        </w:rPr>
      </w:pPr>
      <w:r w:rsidRPr="00CB1460">
        <w:rPr>
          <w:rFonts w:asciiTheme="minorHAnsi" w:eastAsia="Times New Roman" w:hAnsiTheme="minorHAnsi"/>
        </w:rPr>
        <w:t xml:space="preserve">Another mechanism for drastic economic adjustment involves information cascades. </w:t>
      </w:r>
      <w:r w:rsidR="00333602" w:rsidRPr="00CB1460">
        <w:rPr>
          <w:rFonts w:asciiTheme="minorHAnsi" w:eastAsia="Times New Roman" w:hAnsiTheme="minorHAnsi"/>
        </w:rPr>
        <w:t xml:space="preserve">In models, such as </w:t>
      </w:r>
      <w:r w:rsidR="00333602" w:rsidRPr="00950712">
        <w:rPr>
          <w:rFonts w:asciiTheme="minorHAnsi" w:eastAsia="Times New Roman" w:hAnsiTheme="minorHAnsi" w:cs="Arial"/>
          <w:color w:val="222222"/>
          <w:shd w:val="clear" w:color="auto" w:fill="FFFFFF"/>
        </w:rPr>
        <w:t>Bikhchandani</w:t>
      </w:r>
      <w:r w:rsidR="00333602" w:rsidRPr="00CB1460">
        <w:rPr>
          <w:rFonts w:asciiTheme="minorHAnsi" w:eastAsia="Times New Roman" w:hAnsiTheme="minorHAnsi"/>
        </w:rPr>
        <w:t>, et. al.</w:t>
      </w:r>
      <w:r w:rsidR="0007598A" w:rsidRPr="00CB1460">
        <w:rPr>
          <w:rFonts w:asciiTheme="minorHAnsi" w:eastAsia="Times New Roman" w:hAnsiTheme="minorHAnsi"/>
        </w:rPr>
        <w:t>, (1992</w:t>
      </w:r>
      <w:r w:rsidR="00E87D68">
        <w:rPr>
          <w:rFonts w:asciiTheme="minorHAnsi" w:eastAsia="Times New Roman" w:hAnsiTheme="minorHAnsi"/>
        </w:rPr>
        <w:t>),</w:t>
      </w:r>
      <w:r w:rsidR="005230E5" w:rsidRPr="00CB1460">
        <w:rPr>
          <w:rFonts w:asciiTheme="minorHAnsi" w:eastAsia="Times New Roman" w:hAnsiTheme="minorHAnsi"/>
        </w:rPr>
        <w:t xml:space="preserve"> cascades involve</w:t>
      </w:r>
      <w:r w:rsidRPr="00CB1460">
        <w:rPr>
          <w:rFonts w:asciiTheme="minorHAnsi" w:eastAsia="Times New Roman" w:hAnsiTheme="minorHAnsi"/>
        </w:rPr>
        <w:t xml:space="preserve"> economic agents ignoring their own information and inferring the </w:t>
      </w:r>
      <w:r w:rsidR="008E4B78" w:rsidRPr="00CB1460">
        <w:rPr>
          <w:rFonts w:asciiTheme="minorHAnsi" w:eastAsia="Times New Roman" w:hAnsiTheme="minorHAnsi"/>
        </w:rPr>
        <w:t>“</w:t>
      </w:r>
      <w:r w:rsidRPr="00CB1460">
        <w:rPr>
          <w:rFonts w:asciiTheme="minorHAnsi" w:eastAsia="Times New Roman" w:hAnsiTheme="minorHAnsi"/>
        </w:rPr>
        <w:t>truth</w:t>
      </w:r>
      <w:r w:rsidR="008E4B78" w:rsidRPr="00CB1460">
        <w:rPr>
          <w:rFonts w:asciiTheme="minorHAnsi" w:eastAsia="Times New Roman" w:hAnsiTheme="minorHAnsi"/>
        </w:rPr>
        <w:t>”</w:t>
      </w:r>
      <w:r w:rsidRPr="00CB1460">
        <w:rPr>
          <w:rFonts w:asciiTheme="minorHAnsi" w:eastAsia="Times New Roman" w:hAnsiTheme="minorHAnsi"/>
        </w:rPr>
        <w:t xml:space="preserve"> based on the actions other agents are taking.</w:t>
      </w:r>
      <w:r w:rsidR="00A409F1">
        <w:rPr>
          <w:rStyle w:val="FootnoteReference"/>
          <w:rFonts w:asciiTheme="minorHAnsi" w:eastAsia="Times New Roman" w:hAnsiTheme="minorHAnsi"/>
        </w:rPr>
        <w:footnoteReference w:id="51"/>
      </w:r>
      <w:r w:rsidRPr="00CB1460">
        <w:rPr>
          <w:rFonts w:asciiTheme="minorHAnsi" w:eastAsia="Times New Roman" w:hAnsiTheme="minorHAnsi"/>
        </w:rPr>
        <w:t xml:space="preserve"> </w:t>
      </w:r>
      <w:r w:rsidR="003E3BC9">
        <w:rPr>
          <w:rFonts w:asciiTheme="minorHAnsi" w:eastAsia="Times New Roman" w:hAnsiTheme="minorHAnsi"/>
        </w:rPr>
        <w:t xml:space="preserve">This induces herd behavior as in a stampede in a crowded theatre (financial market) when someone shouts </w:t>
      </w:r>
      <w:r w:rsidR="003E3BC9" w:rsidRPr="003E3BC9">
        <w:rPr>
          <w:rFonts w:asciiTheme="minorHAnsi" w:eastAsia="Times New Roman" w:hAnsiTheme="minorHAnsi"/>
          <w:i/>
        </w:rPr>
        <w:t>FIRE</w:t>
      </w:r>
      <w:r w:rsidR="003E3BC9">
        <w:rPr>
          <w:rFonts w:asciiTheme="minorHAnsi" w:eastAsia="Times New Roman" w:hAnsiTheme="minorHAnsi"/>
          <w:i/>
        </w:rPr>
        <w:t xml:space="preserve"> (BANKRUPT)</w:t>
      </w:r>
      <w:r w:rsidR="003E3BC9">
        <w:rPr>
          <w:rFonts w:asciiTheme="minorHAnsi" w:eastAsia="Times New Roman" w:hAnsiTheme="minorHAnsi"/>
        </w:rPr>
        <w:t xml:space="preserve">. </w:t>
      </w:r>
      <w:r w:rsidR="00AF7FCA">
        <w:rPr>
          <w:rFonts w:asciiTheme="minorHAnsi" w:eastAsia="Times New Roman" w:hAnsiTheme="minorHAnsi"/>
        </w:rPr>
        <w:t xml:space="preserve">The key herding point, for our purposes, is that people can get trampled in the </w:t>
      </w:r>
      <w:r w:rsidR="00F9456D">
        <w:rPr>
          <w:rFonts w:asciiTheme="minorHAnsi" w:eastAsia="Times New Roman" w:hAnsiTheme="minorHAnsi"/>
        </w:rPr>
        <w:t>absence of any fire whatsoever, i.e., regardless of the fundamentals.</w:t>
      </w:r>
    </w:p>
    <w:p w14:paraId="06B6D958" w14:textId="77777777" w:rsidR="00F9456D" w:rsidRDefault="00F9456D" w:rsidP="00852F0F">
      <w:pPr>
        <w:jc w:val="both"/>
        <w:rPr>
          <w:rFonts w:asciiTheme="minorHAnsi" w:eastAsia="Times New Roman" w:hAnsiTheme="minorHAnsi"/>
        </w:rPr>
      </w:pPr>
    </w:p>
    <w:p w14:paraId="32776429" w14:textId="27975D00" w:rsidR="004C7607" w:rsidRDefault="00A02FEC" w:rsidP="00852F0F">
      <w:pPr>
        <w:jc w:val="both"/>
        <w:rPr>
          <w:rFonts w:asciiTheme="minorHAnsi" w:eastAsia="Times New Roman" w:hAnsiTheme="minorHAnsi"/>
        </w:rPr>
      </w:pPr>
      <w:r w:rsidRPr="003E3BC9">
        <w:rPr>
          <w:rFonts w:asciiTheme="minorHAnsi" w:eastAsia="Times New Roman" w:hAnsiTheme="minorHAnsi"/>
        </w:rPr>
        <w:lastRenderedPageBreak/>
        <w:t>Chamley</w:t>
      </w:r>
      <w:r>
        <w:rPr>
          <w:rFonts w:asciiTheme="minorHAnsi" w:eastAsia="Times New Roman" w:hAnsiTheme="minorHAnsi"/>
        </w:rPr>
        <w:t xml:space="preserve"> (</w:t>
      </w:r>
      <w:r w:rsidR="00CB58A4">
        <w:rPr>
          <w:rFonts w:asciiTheme="minorHAnsi" w:eastAsia="Times New Roman" w:hAnsiTheme="minorHAnsi"/>
        </w:rPr>
        <w:t>2014) provides</w:t>
      </w:r>
      <w:r w:rsidR="00596CE3">
        <w:rPr>
          <w:rFonts w:asciiTheme="minorHAnsi" w:eastAsia="Times New Roman" w:hAnsiTheme="minorHAnsi"/>
        </w:rPr>
        <w:t xml:space="preserve"> </w:t>
      </w:r>
      <w:r w:rsidR="00CB58A4">
        <w:rPr>
          <w:rFonts w:asciiTheme="minorHAnsi" w:eastAsia="Times New Roman" w:hAnsiTheme="minorHAnsi"/>
        </w:rPr>
        <w:t>a va</w:t>
      </w:r>
      <w:r w:rsidR="00C509CE">
        <w:rPr>
          <w:rFonts w:asciiTheme="minorHAnsi" w:eastAsia="Times New Roman" w:hAnsiTheme="minorHAnsi"/>
        </w:rPr>
        <w:t>riety of models of financial</w:t>
      </w:r>
      <w:r w:rsidR="00CB58A4">
        <w:rPr>
          <w:rFonts w:asciiTheme="minorHAnsi" w:eastAsia="Times New Roman" w:hAnsiTheme="minorHAnsi"/>
        </w:rPr>
        <w:t xml:space="preserve"> herding behavior</w:t>
      </w:r>
      <w:r w:rsidR="00AF7FCA">
        <w:rPr>
          <w:rFonts w:asciiTheme="minorHAnsi" w:eastAsia="Times New Roman" w:hAnsiTheme="minorHAnsi"/>
        </w:rPr>
        <w:t xml:space="preserve">. One of his key contributions is </w:t>
      </w:r>
      <w:r w:rsidR="00D906D9">
        <w:rPr>
          <w:rFonts w:asciiTheme="minorHAnsi" w:eastAsia="Times New Roman" w:hAnsiTheme="minorHAnsi"/>
        </w:rPr>
        <w:t>showing how government policy</w:t>
      </w:r>
      <w:r w:rsidR="00AF7FCA">
        <w:rPr>
          <w:rFonts w:asciiTheme="minorHAnsi" w:eastAsia="Times New Roman" w:hAnsiTheme="minorHAnsi"/>
        </w:rPr>
        <w:t xml:space="preserve"> can rule out</w:t>
      </w:r>
      <w:r w:rsidR="00783C76">
        <w:rPr>
          <w:rFonts w:asciiTheme="minorHAnsi" w:eastAsia="Times New Roman" w:hAnsiTheme="minorHAnsi"/>
        </w:rPr>
        <w:t xml:space="preserve"> bad equilibrium</w:t>
      </w:r>
      <w:r w:rsidR="00AF7FCA">
        <w:rPr>
          <w:rFonts w:asciiTheme="minorHAnsi" w:eastAsia="Times New Roman" w:hAnsiTheme="minorHAnsi"/>
        </w:rPr>
        <w:t xml:space="preserve">s, which is </w:t>
      </w:r>
      <w:r w:rsidR="00D54C8D">
        <w:rPr>
          <w:rFonts w:asciiTheme="minorHAnsi" w:eastAsia="Times New Roman" w:hAnsiTheme="minorHAnsi"/>
        </w:rPr>
        <w:t>the central motivation</w:t>
      </w:r>
      <w:r w:rsidR="00AF7FCA">
        <w:rPr>
          <w:rFonts w:asciiTheme="minorHAnsi" w:eastAsia="Times New Roman" w:hAnsiTheme="minorHAnsi"/>
        </w:rPr>
        <w:t xml:space="preserve"> underlying the Limited Purpose Banking proposal referenced below. </w:t>
      </w:r>
      <w:r w:rsidR="006C3FED">
        <w:rPr>
          <w:rFonts w:asciiTheme="minorHAnsi" w:eastAsia="Times New Roman" w:hAnsiTheme="minorHAnsi"/>
        </w:rPr>
        <w:t>In contrast, Dodd Frank’</w:t>
      </w:r>
      <w:r w:rsidR="00F9456D">
        <w:rPr>
          <w:rFonts w:asciiTheme="minorHAnsi" w:eastAsia="Times New Roman" w:hAnsiTheme="minorHAnsi"/>
        </w:rPr>
        <w:t>s goal</w:t>
      </w:r>
      <w:r w:rsidR="00D54C8D">
        <w:rPr>
          <w:rFonts w:asciiTheme="minorHAnsi" w:eastAsia="Times New Roman" w:hAnsiTheme="minorHAnsi"/>
        </w:rPr>
        <w:t xml:space="preserve"> is</w:t>
      </w:r>
      <w:r w:rsidR="006C3FED">
        <w:rPr>
          <w:rFonts w:asciiTheme="minorHAnsi" w:eastAsia="Times New Roman" w:hAnsiTheme="minorHAnsi"/>
        </w:rPr>
        <w:t xml:space="preserve"> to reduce, not</w:t>
      </w:r>
      <w:r w:rsidR="00D54C8D">
        <w:rPr>
          <w:rFonts w:asciiTheme="minorHAnsi" w:eastAsia="Times New Roman" w:hAnsiTheme="minorHAnsi"/>
        </w:rPr>
        <w:t xml:space="preserve"> </w:t>
      </w:r>
      <w:r w:rsidR="00F9456D">
        <w:rPr>
          <w:rFonts w:asciiTheme="minorHAnsi" w:eastAsia="Times New Roman" w:hAnsiTheme="minorHAnsi"/>
        </w:rPr>
        <w:t>eliminate the chance</w:t>
      </w:r>
      <w:r w:rsidR="006C3FED">
        <w:rPr>
          <w:rFonts w:asciiTheme="minorHAnsi" w:eastAsia="Times New Roman" w:hAnsiTheme="minorHAnsi"/>
        </w:rPr>
        <w:t xml:space="preserve"> of financial system meltdown. </w:t>
      </w:r>
    </w:p>
    <w:p w14:paraId="5DB51522" w14:textId="77777777" w:rsidR="001B0A66" w:rsidRDefault="001B0A66" w:rsidP="00852F0F">
      <w:pPr>
        <w:jc w:val="both"/>
        <w:rPr>
          <w:rFonts w:asciiTheme="minorHAnsi" w:eastAsia="Times New Roman" w:hAnsiTheme="minorHAnsi"/>
        </w:rPr>
      </w:pPr>
    </w:p>
    <w:p w14:paraId="18966EE7" w14:textId="1E2263CE" w:rsidR="001B0A66" w:rsidRDefault="001B0A66" w:rsidP="001B0A66">
      <w:pPr>
        <w:jc w:val="both"/>
        <w:rPr>
          <w:rFonts w:asciiTheme="minorHAnsi" w:eastAsia="Times New Roman" w:hAnsiTheme="minorHAnsi" w:cs="Arial"/>
          <w:color w:val="222222"/>
          <w:shd w:val="clear" w:color="auto" w:fill="FFFFFF"/>
        </w:rPr>
      </w:pPr>
      <w:r>
        <w:rPr>
          <w:rFonts w:asciiTheme="minorHAnsi" w:eastAsia="Times New Roman" w:hAnsiTheme="minorHAnsi" w:cs="Arial"/>
          <w:color w:val="222222"/>
          <w:shd w:val="clear" w:color="auto" w:fill="FFFFFF"/>
        </w:rPr>
        <w:t>Jackson and Kotlikoff (2018) provide a different and</w:t>
      </w:r>
      <w:r w:rsidR="007D25D2">
        <w:rPr>
          <w:rFonts w:asciiTheme="minorHAnsi" w:eastAsia="Times New Roman" w:hAnsiTheme="minorHAnsi" w:cs="Arial"/>
          <w:color w:val="222222"/>
          <w:shd w:val="clear" w:color="auto" w:fill="FFFFFF"/>
        </w:rPr>
        <w:t xml:space="preserve"> very</w:t>
      </w:r>
      <w:r>
        <w:rPr>
          <w:rFonts w:asciiTheme="minorHAnsi" w:eastAsia="Times New Roman" w:hAnsiTheme="minorHAnsi" w:cs="Arial"/>
          <w:color w:val="222222"/>
          <w:shd w:val="clear" w:color="auto" w:fill="FFFFFF"/>
        </w:rPr>
        <w:t xml:space="preserve"> simple mechanism for landing the economy in a bad position. They posit a model in which </w:t>
      </w:r>
      <w:r w:rsidR="007D25D2">
        <w:rPr>
          <w:rFonts w:asciiTheme="minorHAnsi" w:eastAsia="Times New Roman" w:hAnsiTheme="minorHAnsi" w:cs="Arial"/>
          <w:color w:val="222222"/>
          <w:shd w:val="clear" w:color="auto" w:fill="FFFFFF"/>
        </w:rPr>
        <w:t>honest bankers provide a variable share of</w:t>
      </w:r>
      <w:r>
        <w:rPr>
          <w:rFonts w:asciiTheme="minorHAnsi" w:eastAsia="Times New Roman" w:hAnsiTheme="minorHAnsi" w:cs="Arial"/>
          <w:color w:val="222222"/>
          <w:shd w:val="clear" w:color="auto" w:fill="FFFFFF"/>
        </w:rPr>
        <w:t xml:space="preserve"> intermediation services. </w:t>
      </w:r>
      <w:r w:rsidR="0061518E">
        <w:rPr>
          <w:rFonts w:asciiTheme="minorHAnsi" w:eastAsia="Times New Roman" w:hAnsiTheme="minorHAnsi" w:cs="Arial"/>
          <w:color w:val="222222"/>
          <w:shd w:val="clear" w:color="auto" w:fill="FFFFFF"/>
        </w:rPr>
        <w:t>When this share is low</w:t>
      </w:r>
      <w:r w:rsidR="007D25D2">
        <w:rPr>
          <w:rFonts w:asciiTheme="minorHAnsi" w:eastAsia="Times New Roman" w:hAnsiTheme="minorHAnsi" w:cs="Arial"/>
          <w:color w:val="222222"/>
          <w:shd w:val="clear" w:color="auto" w:fill="FFFFFF"/>
        </w:rPr>
        <w:t>,</w:t>
      </w:r>
      <w:r w:rsidR="0061518E">
        <w:rPr>
          <w:rFonts w:asciiTheme="minorHAnsi" w:eastAsia="Times New Roman" w:hAnsiTheme="minorHAnsi" w:cs="Arial"/>
          <w:color w:val="222222"/>
          <w:shd w:val="clear" w:color="auto" w:fill="FFFFFF"/>
        </w:rPr>
        <w:t xml:space="preserve"> households defund the banks and, absent disclosure, will</w:t>
      </w:r>
      <w:r w:rsidR="00DB05F4">
        <w:rPr>
          <w:rFonts w:asciiTheme="minorHAnsi" w:eastAsia="Times New Roman" w:hAnsiTheme="minorHAnsi" w:cs="Arial"/>
          <w:color w:val="222222"/>
          <w:shd w:val="clear" w:color="auto" w:fill="FFFFFF"/>
        </w:rPr>
        <w:t>, mistakenly,</w:t>
      </w:r>
      <w:r w:rsidR="00844EEC">
        <w:rPr>
          <w:rFonts w:asciiTheme="minorHAnsi" w:eastAsia="Times New Roman" w:hAnsiTheme="minorHAnsi" w:cs="Arial"/>
          <w:color w:val="222222"/>
          <w:shd w:val="clear" w:color="auto" w:fill="FFFFFF"/>
        </w:rPr>
        <w:t xml:space="preserve"> continue to do so even </w:t>
      </w:r>
      <w:r w:rsidR="0061518E">
        <w:rPr>
          <w:rFonts w:asciiTheme="minorHAnsi" w:eastAsia="Times New Roman" w:hAnsiTheme="minorHAnsi" w:cs="Arial"/>
          <w:color w:val="222222"/>
          <w:shd w:val="clear" w:color="auto" w:fill="FFFFFF"/>
        </w:rPr>
        <w:t xml:space="preserve">during periods when the share of honest bankers is high. </w:t>
      </w:r>
      <w:r w:rsidR="007D25D2">
        <w:rPr>
          <w:rFonts w:asciiTheme="minorHAnsi" w:eastAsia="Times New Roman" w:hAnsiTheme="minorHAnsi" w:cs="Arial"/>
          <w:color w:val="222222"/>
          <w:shd w:val="clear" w:color="auto" w:fill="FFFFFF"/>
        </w:rPr>
        <w:t xml:space="preserve"> </w:t>
      </w:r>
    </w:p>
    <w:p w14:paraId="0D46CE63" w14:textId="77777777" w:rsidR="006C3FED" w:rsidRDefault="006C3FED" w:rsidP="00852F0F">
      <w:pPr>
        <w:jc w:val="both"/>
        <w:rPr>
          <w:rFonts w:asciiTheme="minorHAnsi" w:eastAsia="Times New Roman" w:hAnsiTheme="minorHAnsi"/>
        </w:rPr>
      </w:pPr>
    </w:p>
    <w:p w14:paraId="3CCE876F" w14:textId="2AF2CDB5" w:rsidR="00925DB1" w:rsidRPr="00FE2C15" w:rsidRDefault="00317597" w:rsidP="00D41CB5">
      <w:pPr>
        <w:jc w:val="both"/>
        <w:rPr>
          <w:rFonts w:asciiTheme="minorHAnsi" w:eastAsia="Times New Roman" w:hAnsiTheme="minorHAnsi"/>
        </w:rPr>
      </w:pPr>
      <w:r>
        <w:rPr>
          <w:rFonts w:asciiTheme="minorHAnsi" w:eastAsia="Times New Roman" w:hAnsiTheme="minorHAnsi"/>
        </w:rPr>
        <w:t>In completely</w:t>
      </w:r>
      <w:r w:rsidR="00BA4E28">
        <w:rPr>
          <w:rFonts w:asciiTheme="minorHAnsi" w:eastAsia="Times New Roman" w:hAnsiTheme="minorHAnsi"/>
        </w:rPr>
        <w:t xml:space="preserve"> ignoring th</w:t>
      </w:r>
      <w:r>
        <w:rPr>
          <w:rFonts w:asciiTheme="minorHAnsi" w:eastAsia="Times New Roman" w:hAnsiTheme="minorHAnsi"/>
        </w:rPr>
        <w:t>e theory</w:t>
      </w:r>
      <w:r w:rsidR="00BA4E28">
        <w:rPr>
          <w:rFonts w:asciiTheme="minorHAnsi" w:eastAsia="Times New Roman" w:hAnsiTheme="minorHAnsi"/>
        </w:rPr>
        <w:t xml:space="preserve"> </w:t>
      </w:r>
      <w:r w:rsidR="00964008">
        <w:rPr>
          <w:rFonts w:asciiTheme="minorHAnsi" w:eastAsia="Times New Roman" w:hAnsiTheme="minorHAnsi"/>
        </w:rPr>
        <w:t xml:space="preserve">of </w:t>
      </w:r>
      <w:r w:rsidR="00BA4E28">
        <w:rPr>
          <w:rFonts w:asciiTheme="minorHAnsi" w:eastAsia="Times New Roman" w:hAnsiTheme="minorHAnsi"/>
        </w:rPr>
        <w:t>bank runs</w:t>
      </w:r>
      <w:r>
        <w:rPr>
          <w:rFonts w:asciiTheme="minorHAnsi" w:eastAsia="Times New Roman" w:hAnsiTheme="minorHAnsi"/>
        </w:rPr>
        <w:t xml:space="preserve"> (There is not a single reference to any theoretical model.)</w:t>
      </w:r>
      <w:r w:rsidR="00BA4E28">
        <w:rPr>
          <w:rFonts w:asciiTheme="minorHAnsi" w:eastAsia="Times New Roman" w:hAnsiTheme="minorHAnsi"/>
        </w:rPr>
        <w:t>, t</w:t>
      </w:r>
      <w:r>
        <w:rPr>
          <w:rFonts w:asciiTheme="minorHAnsi" w:eastAsia="Times New Roman" w:hAnsiTheme="minorHAnsi"/>
        </w:rPr>
        <w:t>he FCIC pretended</w:t>
      </w:r>
      <w:r w:rsidR="004C7607" w:rsidRPr="00CB1460">
        <w:rPr>
          <w:rFonts w:asciiTheme="minorHAnsi" w:eastAsia="Times New Roman" w:hAnsiTheme="minorHAnsi"/>
        </w:rPr>
        <w:t xml:space="preserve"> that what happened wasn’t intrinsic to how the </w:t>
      </w:r>
      <w:r>
        <w:rPr>
          <w:rFonts w:asciiTheme="minorHAnsi" w:eastAsia="Times New Roman" w:hAnsiTheme="minorHAnsi"/>
        </w:rPr>
        <w:t xml:space="preserve">financial market is structured. </w:t>
      </w:r>
      <w:r w:rsidR="00472F27">
        <w:rPr>
          <w:rFonts w:asciiTheme="minorHAnsi" w:eastAsia="Times New Roman" w:hAnsiTheme="minorHAnsi"/>
        </w:rPr>
        <w:t xml:space="preserve">Instead, the commission, for whatever reasons, appears to have </w:t>
      </w:r>
      <w:r w:rsidR="004C7607" w:rsidRPr="00CB1460">
        <w:rPr>
          <w:rFonts w:asciiTheme="minorHAnsi" w:eastAsia="Times New Roman" w:hAnsiTheme="minorHAnsi"/>
        </w:rPr>
        <w:t>rounded up the usual suspects and</w:t>
      </w:r>
      <w:r w:rsidR="00472F27">
        <w:rPr>
          <w:rFonts w:asciiTheme="minorHAnsi" w:eastAsia="Times New Roman" w:hAnsiTheme="minorHAnsi"/>
        </w:rPr>
        <w:t xml:space="preserve"> held </w:t>
      </w:r>
      <w:r w:rsidR="00EE00FE">
        <w:rPr>
          <w:rFonts w:asciiTheme="minorHAnsi" w:eastAsia="Times New Roman" w:hAnsiTheme="minorHAnsi"/>
        </w:rPr>
        <w:t>a sham</w:t>
      </w:r>
      <w:r w:rsidR="004C7607" w:rsidRPr="00CB1460">
        <w:rPr>
          <w:rFonts w:asciiTheme="minorHAnsi" w:eastAsia="Times New Roman" w:hAnsiTheme="minorHAnsi"/>
        </w:rPr>
        <w:t xml:space="preserve"> trial.  </w:t>
      </w:r>
      <w:r w:rsidR="003A2C39">
        <w:rPr>
          <w:rFonts w:asciiTheme="minorHAnsi" w:eastAsia="Times New Roman" w:hAnsiTheme="minorHAnsi"/>
        </w:rPr>
        <w:t xml:space="preserve">Yet, the commissioners </w:t>
      </w:r>
      <w:r w:rsidR="00FE2C15">
        <w:rPr>
          <w:rFonts w:asciiTheme="minorHAnsi" w:eastAsia="Times New Roman" w:hAnsiTheme="minorHAnsi"/>
        </w:rPr>
        <w:t xml:space="preserve">couldn’t </w:t>
      </w:r>
      <w:r w:rsidR="003A2C39">
        <w:rPr>
          <w:rFonts w:asciiTheme="minorHAnsi" w:eastAsia="Times New Roman" w:hAnsiTheme="minorHAnsi"/>
        </w:rPr>
        <w:t xml:space="preserve">simple </w:t>
      </w:r>
      <w:r w:rsidR="00FE2C15">
        <w:rPr>
          <w:rFonts w:asciiTheme="minorHAnsi" w:eastAsia="Times New Roman" w:hAnsiTheme="minorHAnsi"/>
        </w:rPr>
        <w:t xml:space="preserve">ignore the panic. </w:t>
      </w:r>
      <w:r w:rsidR="000C6EA8" w:rsidRPr="00CB1460">
        <w:rPr>
          <w:rFonts w:asciiTheme="minorHAnsi" w:eastAsia="Times New Roman" w:hAnsiTheme="minorHAnsi"/>
        </w:rPr>
        <w:t>In</w:t>
      </w:r>
      <w:r w:rsidR="004208A7" w:rsidRPr="00CB1460">
        <w:rPr>
          <w:rFonts w:asciiTheme="minorHAnsi" w:eastAsia="Times New Roman" w:hAnsiTheme="minorHAnsi"/>
        </w:rPr>
        <w:t xml:space="preserve"> </w:t>
      </w:r>
      <w:r w:rsidR="00A60287">
        <w:rPr>
          <w:rFonts w:asciiTheme="minorHAnsi" w:eastAsia="Times New Roman" w:hAnsiTheme="minorHAnsi"/>
        </w:rPr>
        <w:t xml:space="preserve">fact, in </w:t>
      </w:r>
      <w:r w:rsidR="0044239C" w:rsidRPr="00CB1460">
        <w:rPr>
          <w:rFonts w:asciiTheme="minorHAnsi" w:eastAsia="Times New Roman" w:hAnsiTheme="minorHAnsi"/>
        </w:rPr>
        <w:t>the process of fingering</w:t>
      </w:r>
      <w:r w:rsidR="004208A7" w:rsidRPr="00CB1460">
        <w:rPr>
          <w:rFonts w:asciiTheme="minorHAnsi" w:eastAsia="Times New Roman" w:hAnsiTheme="minorHAnsi"/>
        </w:rPr>
        <w:t xml:space="preserve"> </w:t>
      </w:r>
      <w:r w:rsidR="00FD76F4" w:rsidRPr="00CB1460">
        <w:rPr>
          <w:rFonts w:asciiTheme="minorHAnsi" w:eastAsia="Times New Roman" w:hAnsiTheme="minorHAnsi"/>
          <w:color w:val="000000"/>
        </w:rPr>
        <w:t xml:space="preserve">multiple </w:t>
      </w:r>
      <w:r w:rsidR="000C6EA8" w:rsidRPr="00CB1460">
        <w:rPr>
          <w:rFonts w:asciiTheme="minorHAnsi" w:eastAsia="Times New Roman" w:hAnsiTheme="minorHAnsi"/>
          <w:color w:val="000000"/>
        </w:rPr>
        <w:t xml:space="preserve">apparently </w:t>
      </w:r>
      <w:r w:rsidR="0044239C" w:rsidRPr="00CB1460">
        <w:rPr>
          <w:rFonts w:asciiTheme="minorHAnsi" w:eastAsia="Times New Roman" w:hAnsiTheme="minorHAnsi"/>
          <w:color w:val="000000"/>
        </w:rPr>
        <w:t xml:space="preserve">innocent culprits, </w:t>
      </w:r>
      <w:r w:rsidR="00FD76F4" w:rsidRPr="00CB1460">
        <w:rPr>
          <w:rFonts w:asciiTheme="minorHAnsi" w:eastAsia="Times New Roman" w:hAnsiTheme="minorHAnsi"/>
          <w:color w:val="000000"/>
        </w:rPr>
        <w:t xml:space="preserve">the report </w:t>
      </w:r>
      <w:r w:rsidR="00E52027">
        <w:rPr>
          <w:rFonts w:asciiTheme="minorHAnsi" w:eastAsia="Times New Roman" w:hAnsiTheme="minorHAnsi"/>
          <w:color w:val="000000"/>
        </w:rPr>
        <w:t>used</w:t>
      </w:r>
      <w:r w:rsidR="0044239C" w:rsidRPr="00CB1460">
        <w:rPr>
          <w:rFonts w:asciiTheme="minorHAnsi" w:eastAsia="Times New Roman" w:hAnsiTheme="minorHAnsi"/>
          <w:color w:val="000000"/>
        </w:rPr>
        <w:t xml:space="preserve"> </w:t>
      </w:r>
      <w:r w:rsidR="002D4888" w:rsidRPr="00CB1460">
        <w:rPr>
          <w:rFonts w:asciiTheme="minorHAnsi" w:eastAsia="Times New Roman" w:hAnsiTheme="minorHAnsi"/>
          <w:color w:val="000000"/>
        </w:rPr>
        <w:t xml:space="preserve">the word </w:t>
      </w:r>
      <w:r w:rsidR="00864738" w:rsidRPr="00CB1460">
        <w:rPr>
          <w:rFonts w:asciiTheme="minorHAnsi" w:eastAsia="Times New Roman" w:hAnsiTheme="minorHAnsi"/>
          <w:color w:val="000000"/>
        </w:rPr>
        <w:t>panic 100</w:t>
      </w:r>
      <w:r w:rsidR="002D4888" w:rsidRPr="00CB1460">
        <w:rPr>
          <w:rFonts w:asciiTheme="minorHAnsi" w:eastAsia="Times New Roman" w:hAnsiTheme="minorHAnsi"/>
          <w:color w:val="000000"/>
        </w:rPr>
        <w:t xml:space="preserve"> times. That’s roughly one </w:t>
      </w:r>
      <w:r w:rsidR="00A41B6E" w:rsidRPr="00CB1460">
        <w:rPr>
          <w:rFonts w:asciiTheme="minorHAnsi" w:eastAsia="Times New Roman" w:hAnsiTheme="minorHAnsi"/>
          <w:color w:val="000000"/>
        </w:rPr>
        <w:t xml:space="preserve">usage </w:t>
      </w:r>
      <w:r w:rsidR="002D4888" w:rsidRPr="00CB1460">
        <w:rPr>
          <w:rFonts w:asciiTheme="minorHAnsi" w:eastAsia="Times New Roman" w:hAnsiTheme="minorHAnsi"/>
          <w:color w:val="000000"/>
        </w:rPr>
        <w:t xml:space="preserve">every six pages. </w:t>
      </w:r>
      <w:r w:rsidR="00323CA4" w:rsidRPr="00CB1460">
        <w:rPr>
          <w:rFonts w:asciiTheme="minorHAnsi" w:eastAsia="Times New Roman" w:hAnsiTheme="minorHAnsi"/>
          <w:color w:val="000000"/>
        </w:rPr>
        <w:t>Here is the first</w:t>
      </w:r>
      <w:r w:rsidR="007C6DFC" w:rsidRPr="00CB1460">
        <w:rPr>
          <w:rFonts w:asciiTheme="minorHAnsi" w:eastAsia="Times New Roman" w:hAnsiTheme="minorHAnsi"/>
          <w:color w:val="000000"/>
        </w:rPr>
        <w:t>.</w:t>
      </w:r>
    </w:p>
    <w:p w14:paraId="196BD9D0" w14:textId="77777777" w:rsidR="007C6DFC" w:rsidRPr="00CB1460" w:rsidRDefault="007C6DFC" w:rsidP="00D41CB5">
      <w:pPr>
        <w:jc w:val="both"/>
        <w:rPr>
          <w:rFonts w:asciiTheme="minorHAnsi" w:eastAsia="Times New Roman" w:hAnsiTheme="minorHAnsi"/>
          <w:color w:val="000000"/>
        </w:rPr>
      </w:pPr>
    </w:p>
    <w:p w14:paraId="7D56031F" w14:textId="2C937D4B" w:rsidR="007C6DFC" w:rsidRPr="00CB1460" w:rsidRDefault="007C6DFC" w:rsidP="00F55C56">
      <w:pPr>
        <w:ind w:left="288" w:right="288"/>
        <w:jc w:val="both"/>
        <w:rPr>
          <w:rFonts w:asciiTheme="minorHAnsi" w:eastAsia="Times New Roman" w:hAnsiTheme="minorHAnsi"/>
          <w:i/>
        </w:rPr>
      </w:pPr>
      <w:r w:rsidRPr="00CB1460">
        <w:rPr>
          <w:rFonts w:asciiTheme="minorHAnsi" w:eastAsia="Times New Roman" w:hAnsiTheme="minorHAnsi"/>
          <w:i/>
        </w:rPr>
        <w:t>The crisis reached seismic proportions in September with the failure of Lehman Brothers and the impending collapse of the insurance giant American International Group (AIG). Panic fanned by a lack of transparency of the balance sheets of major financial institutions, coupled with a tangle of interconnections among institutions perceived to be “too big to fail,” caused the credit markets to seize up. Trading ground to a halt. The stock market plummeted. The economy plunged into a deep recession.</w:t>
      </w:r>
      <w:r w:rsidR="00B9128D" w:rsidRPr="00CB1460">
        <w:rPr>
          <w:rStyle w:val="FootnoteReference"/>
          <w:rFonts w:asciiTheme="minorHAnsi" w:eastAsia="Times New Roman" w:hAnsiTheme="minorHAnsi"/>
          <w:i/>
        </w:rPr>
        <w:t xml:space="preserve"> </w:t>
      </w:r>
    </w:p>
    <w:p w14:paraId="32871EBE" w14:textId="77777777" w:rsidR="006B4B3D" w:rsidRPr="00CB1460" w:rsidRDefault="006B4B3D" w:rsidP="00F55C56">
      <w:pPr>
        <w:ind w:left="288" w:right="288"/>
        <w:jc w:val="both"/>
        <w:rPr>
          <w:rFonts w:asciiTheme="minorHAnsi" w:eastAsia="Times New Roman" w:hAnsiTheme="minorHAnsi"/>
          <w:i/>
        </w:rPr>
      </w:pPr>
    </w:p>
    <w:p w14:paraId="133F3069" w14:textId="525FC3F0" w:rsidR="000E26D1" w:rsidRPr="00CB1460" w:rsidRDefault="000963A9" w:rsidP="00791BCC">
      <w:pPr>
        <w:ind w:right="288"/>
        <w:jc w:val="both"/>
        <w:rPr>
          <w:rFonts w:asciiTheme="minorHAnsi" w:eastAsia="Times New Roman" w:hAnsiTheme="minorHAnsi"/>
        </w:rPr>
      </w:pPr>
      <w:r w:rsidRPr="00CB1460">
        <w:rPr>
          <w:rFonts w:asciiTheme="minorHAnsi" w:eastAsia="Times New Roman" w:hAnsiTheme="minorHAnsi"/>
        </w:rPr>
        <w:t xml:space="preserve">This statement </w:t>
      </w:r>
      <w:r w:rsidR="000C6EA8" w:rsidRPr="00CB1460">
        <w:rPr>
          <w:rFonts w:asciiTheme="minorHAnsi" w:eastAsia="Times New Roman" w:hAnsiTheme="minorHAnsi"/>
        </w:rPr>
        <w:t>certainly emphasizes</w:t>
      </w:r>
      <w:r w:rsidR="001666F2" w:rsidRPr="00CB1460">
        <w:rPr>
          <w:rFonts w:asciiTheme="minorHAnsi" w:eastAsia="Times New Roman" w:hAnsiTheme="minorHAnsi"/>
        </w:rPr>
        <w:t xml:space="preserve"> irrational fear</w:t>
      </w:r>
      <w:r w:rsidR="00D742E0">
        <w:rPr>
          <w:rFonts w:asciiTheme="minorHAnsi" w:eastAsia="Times New Roman" w:hAnsiTheme="minorHAnsi"/>
        </w:rPr>
        <w:t xml:space="preserve"> and links panic to opacity</w:t>
      </w:r>
      <w:r w:rsidR="00DE0BC3" w:rsidRPr="00CB1460">
        <w:rPr>
          <w:rFonts w:asciiTheme="minorHAnsi" w:eastAsia="Times New Roman" w:hAnsiTheme="minorHAnsi"/>
        </w:rPr>
        <w:t xml:space="preserve">. But if falls far short of saying that the banking system and economy, as currently constituted, are built to fail with panic being </w:t>
      </w:r>
      <w:r w:rsidR="00A63383" w:rsidRPr="00CB1460">
        <w:rPr>
          <w:rFonts w:asciiTheme="minorHAnsi" w:eastAsia="Times New Roman" w:hAnsiTheme="minorHAnsi"/>
        </w:rPr>
        <w:t>the catalyst</w:t>
      </w:r>
      <w:r w:rsidR="00DE33D4" w:rsidRPr="00CB1460">
        <w:rPr>
          <w:rFonts w:asciiTheme="minorHAnsi" w:eastAsia="Times New Roman" w:hAnsiTheme="minorHAnsi"/>
        </w:rPr>
        <w:t xml:space="preserve">. Lehman’s CEO, Richard Fuld, got closer to this </w:t>
      </w:r>
      <w:r w:rsidR="00791BCC" w:rsidRPr="00CB1460">
        <w:rPr>
          <w:rFonts w:asciiTheme="minorHAnsi" w:eastAsia="Times New Roman" w:hAnsiTheme="minorHAnsi"/>
        </w:rPr>
        <w:t xml:space="preserve">conclusion in </w:t>
      </w:r>
      <w:r w:rsidR="00B7027C" w:rsidRPr="00CB1460">
        <w:rPr>
          <w:rFonts w:asciiTheme="minorHAnsi" w:eastAsia="Times New Roman" w:hAnsiTheme="minorHAnsi"/>
        </w:rPr>
        <w:t xml:space="preserve">this part of </w:t>
      </w:r>
      <w:r w:rsidR="000E26D1" w:rsidRPr="00CB1460">
        <w:rPr>
          <w:rFonts w:asciiTheme="minorHAnsi" w:eastAsia="Times New Roman" w:hAnsiTheme="minorHAnsi"/>
        </w:rPr>
        <w:t xml:space="preserve">his </w:t>
      </w:r>
      <w:r w:rsidR="00791BCC" w:rsidRPr="00CB1460">
        <w:rPr>
          <w:rFonts w:asciiTheme="minorHAnsi" w:eastAsia="Times New Roman" w:hAnsiTheme="minorHAnsi"/>
        </w:rPr>
        <w:t xml:space="preserve">October 8, 2008 </w:t>
      </w:r>
      <w:r w:rsidR="000E26D1" w:rsidRPr="00CB1460">
        <w:rPr>
          <w:rFonts w:asciiTheme="minorHAnsi" w:eastAsia="Times New Roman" w:hAnsiTheme="minorHAnsi"/>
        </w:rPr>
        <w:t xml:space="preserve">testimony to </w:t>
      </w:r>
      <w:r w:rsidR="00B7027C" w:rsidRPr="00CB1460">
        <w:rPr>
          <w:rFonts w:asciiTheme="minorHAnsi" w:eastAsia="Times New Roman" w:hAnsiTheme="minorHAnsi"/>
        </w:rPr>
        <w:t xml:space="preserve">the </w:t>
      </w:r>
      <w:r w:rsidR="000E26D1" w:rsidRPr="00CB1460">
        <w:rPr>
          <w:rFonts w:asciiTheme="minorHAnsi" w:eastAsia="Times New Roman" w:hAnsiTheme="minorHAnsi"/>
        </w:rPr>
        <w:t>House Oversight and Reform Committee</w:t>
      </w:r>
      <w:r w:rsidR="00B7027C" w:rsidRPr="00CB1460">
        <w:rPr>
          <w:rFonts w:asciiTheme="minorHAnsi" w:eastAsia="Times New Roman" w:hAnsiTheme="minorHAnsi"/>
        </w:rPr>
        <w:t>.</w:t>
      </w:r>
      <w:r w:rsidR="00DE33D4" w:rsidRPr="00CB1460">
        <w:rPr>
          <w:rStyle w:val="FootnoteReference"/>
          <w:rFonts w:asciiTheme="minorHAnsi" w:eastAsia="Times New Roman" w:hAnsiTheme="minorHAnsi"/>
        </w:rPr>
        <w:t xml:space="preserve"> </w:t>
      </w:r>
      <w:r w:rsidR="00DE33D4" w:rsidRPr="00CB1460">
        <w:rPr>
          <w:rStyle w:val="FootnoteReference"/>
          <w:rFonts w:asciiTheme="minorHAnsi" w:eastAsia="Times New Roman" w:hAnsiTheme="minorHAnsi"/>
        </w:rPr>
        <w:footnoteReference w:id="52"/>
      </w:r>
    </w:p>
    <w:p w14:paraId="7A30F6B2" w14:textId="77777777" w:rsidR="000E26D1" w:rsidRPr="00CB1460" w:rsidRDefault="000E26D1" w:rsidP="000E26D1">
      <w:pPr>
        <w:ind w:right="288"/>
        <w:jc w:val="both"/>
        <w:rPr>
          <w:rFonts w:asciiTheme="minorHAnsi" w:eastAsia="Times New Roman" w:hAnsiTheme="minorHAnsi"/>
        </w:rPr>
      </w:pPr>
    </w:p>
    <w:p w14:paraId="4375009A" w14:textId="570D1B8B" w:rsidR="000E26D1" w:rsidRPr="00CB1460" w:rsidRDefault="000E26D1" w:rsidP="000E26D1">
      <w:pPr>
        <w:ind w:left="288" w:right="288"/>
        <w:jc w:val="both"/>
        <w:rPr>
          <w:rFonts w:asciiTheme="minorHAnsi" w:eastAsia="Times New Roman" w:hAnsiTheme="minorHAnsi"/>
          <w:i/>
        </w:rPr>
      </w:pPr>
      <w:r w:rsidRPr="00CB1460">
        <w:rPr>
          <w:rFonts w:asciiTheme="minorHAnsi" w:eastAsia="Times New Roman" w:hAnsiTheme="minorHAnsi"/>
          <w:i/>
          <w:color w:val="000000"/>
          <w:shd w:val="clear" w:color="auto" w:fill="FFFFFF"/>
        </w:rPr>
        <w:t>At Lehman Brothers, the crisis in confidence that permeated the markets led to an extraordinary run on the bank. In the end, despite all of our efforts, we were overwhelmed. However, what happened to Lehman Brothers could have happened to any financial institution</w:t>
      </w:r>
      <w:r w:rsidR="00FD76F4" w:rsidRPr="00CB1460">
        <w:rPr>
          <w:rFonts w:asciiTheme="minorHAnsi" w:eastAsia="Times New Roman" w:hAnsiTheme="minorHAnsi"/>
          <w:i/>
          <w:color w:val="000000"/>
          <w:shd w:val="clear" w:color="auto" w:fill="FFFFFF"/>
        </w:rPr>
        <w:t>.</w:t>
      </w:r>
    </w:p>
    <w:p w14:paraId="5CAA7B0B" w14:textId="77777777" w:rsidR="000E26D1" w:rsidRPr="00CB1460" w:rsidRDefault="000E26D1" w:rsidP="000E26D1">
      <w:pPr>
        <w:ind w:right="288"/>
        <w:jc w:val="both"/>
        <w:rPr>
          <w:rFonts w:asciiTheme="minorHAnsi" w:eastAsia="Times New Roman" w:hAnsiTheme="minorHAnsi"/>
          <w:i/>
        </w:rPr>
      </w:pPr>
    </w:p>
    <w:p w14:paraId="343EC787" w14:textId="47B1ACE4" w:rsidR="00200B68" w:rsidRDefault="000C6EA8" w:rsidP="0084109B">
      <w:pPr>
        <w:jc w:val="both"/>
        <w:rPr>
          <w:rFonts w:asciiTheme="minorHAnsi" w:eastAsia="Times New Roman" w:hAnsiTheme="minorHAnsi"/>
          <w:color w:val="000000"/>
        </w:rPr>
      </w:pPr>
      <w:r w:rsidRPr="00CB1460">
        <w:rPr>
          <w:rFonts w:asciiTheme="minorHAnsi" w:eastAsia="Times New Roman" w:hAnsiTheme="minorHAnsi"/>
        </w:rPr>
        <w:t xml:space="preserve">If it’s true that what </w:t>
      </w:r>
      <w:r w:rsidR="00D93606" w:rsidRPr="00CB1460">
        <w:rPr>
          <w:rFonts w:asciiTheme="minorHAnsi" w:eastAsia="Times New Roman" w:hAnsiTheme="minorHAnsi"/>
        </w:rPr>
        <w:t>happened to Lehman Brothers could have happen</w:t>
      </w:r>
      <w:r w:rsidRPr="00CB1460">
        <w:rPr>
          <w:rFonts w:asciiTheme="minorHAnsi" w:eastAsia="Times New Roman" w:hAnsiTheme="minorHAnsi"/>
        </w:rPr>
        <w:t>ed to any financial institution,</w:t>
      </w:r>
      <w:r w:rsidR="00295247" w:rsidRPr="00CB1460">
        <w:rPr>
          <w:rFonts w:asciiTheme="minorHAnsi" w:eastAsia="Times New Roman" w:hAnsiTheme="minorHAnsi"/>
        </w:rPr>
        <w:t xml:space="preserve"> it means that </w:t>
      </w:r>
      <w:r w:rsidR="001D7B2B" w:rsidRPr="00CB1460">
        <w:rPr>
          <w:rFonts w:asciiTheme="minorHAnsi" w:eastAsia="Times New Roman" w:hAnsiTheme="minorHAnsi"/>
        </w:rPr>
        <w:t>fundamentals</w:t>
      </w:r>
      <w:r w:rsidRPr="00CB1460">
        <w:rPr>
          <w:rFonts w:asciiTheme="minorHAnsi" w:eastAsia="Times New Roman" w:hAnsiTheme="minorHAnsi"/>
        </w:rPr>
        <w:t>, be they</w:t>
      </w:r>
      <w:r w:rsidR="001D7B2B" w:rsidRPr="00CB1460">
        <w:rPr>
          <w:rFonts w:asciiTheme="minorHAnsi" w:eastAsia="Times New Roman" w:hAnsiTheme="minorHAnsi"/>
        </w:rPr>
        <w:t xml:space="preserve"> </w:t>
      </w:r>
      <w:r w:rsidR="00DD01CB" w:rsidRPr="00CB1460">
        <w:rPr>
          <w:rFonts w:asciiTheme="minorHAnsi" w:eastAsia="Times New Roman" w:hAnsiTheme="minorHAnsi"/>
        </w:rPr>
        <w:t xml:space="preserve">the degree of </w:t>
      </w:r>
      <w:r w:rsidR="001D7B2B" w:rsidRPr="00CB1460">
        <w:rPr>
          <w:rFonts w:asciiTheme="minorHAnsi" w:eastAsia="Times New Roman" w:hAnsiTheme="minorHAnsi"/>
        </w:rPr>
        <w:t>leverage</w:t>
      </w:r>
      <w:r w:rsidR="00C13ED0" w:rsidRPr="00CB1460">
        <w:rPr>
          <w:rFonts w:asciiTheme="minorHAnsi" w:eastAsia="Times New Roman" w:hAnsiTheme="minorHAnsi"/>
        </w:rPr>
        <w:t xml:space="preserve">, </w:t>
      </w:r>
      <w:r w:rsidR="00DD01CB" w:rsidRPr="00CB1460">
        <w:rPr>
          <w:rFonts w:asciiTheme="minorHAnsi" w:eastAsia="Times New Roman" w:hAnsiTheme="minorHAnsi"/>
        </w:rPr>
        <w:t xml:space="preserve">the extent of </w:t>
      </w:r>
      <w:r w:rsidR="00117178">
        <w:rPr>
          <w:rFonts w:asciiTheme="minorHAnsi" w:eastAsia="Times New Roman" w:hAnsiTheme="minorHAnsi"/>
        </w:rPr>
        <w:t>sub</w:t>
      </w:r>
      <w:r w:rsidR="005F72F4">
        <w:rPr>
          <w:rFonts w:asciiTheme="minorHAnsi" w:eastAsia="Times New Roman" w:hAnsiTheme="minorHAnsi"/>
        </w:rPr>
        <w:t xml:space="preserve">prime holdings, </w:t>
      </w:r>
      <w:r w:rsidR="00C13ED0" w:rsidRPr="00CB1460">
        <w:rPr>
          <w:rFonts w:asciiTheme="minorHAnsi" w:eastAsia="Times New Roman" w:hAnsiTheme="minorHAnsi"/>
        </w:rPr>
        <w:t xml:space="preserve">rating </w:t>
      </w:r>
      <w:r w:rsidR="00DD6927">
        <w:rPr>
          <w:rFonts w:asciiTheme="minorHAnsi" w:eastAsia="Times New Roman" w:hAnsiTheme="minorHAnsi"/>
        </w:rPr>
        <w:t>shopping</w:t>
      </w:r>
      <w:r w:rsidR="00C13ED0" w:rsidRPr="00CB1460">
        <w:rPr>
          <w:rFonts w:asciiTheme="minorHAnsi" w:eastAsia="Times New Roman" w:hAnsiTheme="minorHAnsi"/>
        </w:rPr>
        <w:t xml:space="preserve">, </w:t>
      </w:r>
      <w:r w:rsidR="00AB6CF6">
        <w:rPr>
          <w:rFonts w:asciiTheme="minorHAnsi" w:eastAsia="Times New Roman" w:hAnsiTheme="minorHAnsi"/>
        </w:rPr>
        <w:t xml:space="preserve">lack of </w:t>
      </w:r>
      <w:r w:rsidR="006B0D7D" w:rsidRPr="00CB1460">
        <w:rPr>
          <w:rFonts w:asciiTheme="minorHAnsi" w:eastAsia="Times New Roman" w:hAnsiTheme="minorHAnsi"/>
        </w:rPr>
        <w:t>bankers’ skin in the game,</w:t>
      </w:r>
      <w:r w:rsidR="005D3322" w:rsidRPr="00CB1460">
        <w:rPr>
          <w:rFonts w:asciiTheme="minorHAnsi" w:eastAsia="Times New Roman" w:hAnsiTheme="minorHAnsi"/>
        </w:rPr>
        <w:t xml:space="preserve"> regulatory </w:t>
      </w:r>
      <w:r w:rsidR="00AB6CF6">
        <w:rPr>
          <w:rFonts w:asciiTheme="minorHAnsi" w:eastAsia="Times New Roman" w:hAnsiTheme="minorHAnsi"/>
        </w:rPr>
        <w:t>under-sight</w:t>
      </w:r>
      <w:r w:rsidR="006B0D7D" w:rsidRPr="00CB1460">
        <w:rPr>
          <w:rFonts w:asciiTheme="minorHAnsi" w:eastAsia="Times New Roman" w:hAnsiTheme="minorHAnsi"/>
        </w:rPr>
        <w:t>,</w:t>
      </w:r>
      <w:r w:rsidR="001D7B2B" w:rsidRPr="00CB1460">
        <w:rPr>
          <w:rFonts w:asciiTheme="minorHAnsi" w:eastAsia="Times New Roman" w:hAnsiTheme="minorHAnsi"/>
        </w:rPr>
        <w:t xml:space="preserve"> </w:t>
      </w:r>
      <w:r w:rsidR="00AB6CF6">
        <w:rPr>
          <w:rFonts w:asciiTheme="minorHAnsi" w:eastAsia="Times New Roman" w:hAnsiTheme="minorHAnsi"/>
        </w:rPr>
        <w:t>newfangled derivatives,</w:t>
      </w:r>
      <w:r w:rsidR="005F72F4">
        <w:rPr>
          <w:rFonts w:asciiTheme="minorHAnsi" w:eastAsia="Times New Roman" w:hAnsiTheme="minorHAnsi"/>
        </w:rPr>
        <w:t xml:space="preserve"> housing prices, </w:t>
      </w:r>
      <w:r w:rsidR="00CF0262" w:rsidRPr="00CB1460">
        <w:rPr>
          <w:rFonts w:asciiTheme="minorHAnsi" w:eastAsia="Times New Roman" w:hAnsiTheme="minorHAnsi"/>
        </w:rPr>
        <w:t>etc.</w:t>
      </w:r>
      <w:r w:rsidR="00DD01CB" w:rsidRPr="00CB1460">
        <w:rPr>
          <w:rFonts w:asciiTheme="minorHAnsi" w:eastAsia="Times New Roman" w:hAnsiTheme="minorHAnsi"/>
        </w:rPr>
        <w:t>,</w:t>
      </w:r>
      <w:r w:rsidR="00CF0262" w:rsidRPr="00CB1460">
        <w:rPr>
          <w:rFonts w:asciiTheme="minorHAnsi" w:eastAsia="Times New Roman" w:hAnsiTheme="minorHAnsi"/>
        </w:rPr>
        <w:t xml:space="preserve"> weren’t</w:t>
      </w:r>
      <w:r w:rsidRPr="00CB1460">
        <w:rPr>
          <w:rFonts w:asciiTheme="minorHAnsi" w:eastAsia="Times New Roman" w:hAnsiTheme="minorHAnsi"/>
        </w:rPr>
        <w:t xml:space="preserve"> a pre-requisite </w:t>
      </w:r>
      <w:r w:rsidR="001D7B2B" w:rsidRPr="00CB1460">
        <w:rPr>
          <w:rFonts w:asciiTheme="minorHAnsi" w:eastAsia="Times New Roman" w:hAnsiTheme="minorHAnsi"/>
        </w:rPr>
        <w:t xml:space="preserve">for </w:t>
      </w:r>
      <w:r w:rsidR="00CF0262" w:rsidRPr="00CB1460">
        <w:rPr>
          <w:rFonts w:asciiTheme="minorHAnsi" w:eastAsia="Times New Roman" w:hAnsiTheme="minorHAnsi"/>
        </w:rPr>
        <w:t xml:space="preserve">the GR </w:t>
      </w:r>
      <w:r w:rsidR="001D7B2B" w:rsidRPr="00CB1460">
        <w:rPr>
          <w:rFonts w:asciiTheme="minorHAnsi" w:eastAsia="Times New Roman" w:hAnsiTheme="minorHAnsi"/>
        </w:rPr>
        <w:t xml:space="preserve">bank runs. </w:t>
      </w:r>
      <w:r w:rsidR="00587FC3" w:rsidRPr="00CB1460">
        <w:rPr>
          <w:rFonts w:asciiTheme="minorHAnsi" w:eastAsia="Times New Roman" w:hAnsiTheme="minorHAnsi"/>
          <w:color w:val="000000"/>
        </w:rPr>
        <w:t xml:space="preserve">It </w:t>
      </w:r>
      <w:r w:rsidR="00587FC3">
        <w:rPr>
          <w:rFonts w:asciiTheme="minorHAnsi" w:eastAsia="Times New Roman" w:hAnsiTheme="minorHAnsi"/>
          <w:color w:val="000000"/>
        </w:rPr>
        <w:t xml:space="preserve">also </w:t>
      </w:r>
      <w:r w:rsidR="00587FC3" w:rsidRPr="00CB1460">
        <w:rPr>
          <w:rFonts w:asciiTheme="minorHAnsi" w:eastAsia="Times New Roman" w:hAnsiTheme="minorHAnsi"/>
          <w:color w:val="000000"/>
        </w:rPr>
        <w:t>means that established lin</w:t>
      </w:r>
      <w:r w:rsidR="00587FC3">
        <w:rPr>
          <w:rFonts w:asciiTheme="minorHAnsi" w:eastAsia="Times New Roman" w:hAnsiTheme="minorHAnsi"/>
          <w:color w:val="000000"/>
        </w:rPr>
        <w:t>es of credit are worthless because banks will run on banks</w:t>
      </w:r>
      <w:r w:rsidR="002745DD">
        <w:rPr>
          <w:rFonts w:asciiTheme="minorHAnsi" w:eastAsia="Times New Roman" w:hAnsiTheme="minorHAnsi"/>
          <w:color w:val="000000"/>
        </w:rPr>
        <w:t xml:space="preserve"> </w:t>
      </w:r>
      <w:r w:rsidR="000E1E22">
        <w:rPr>
          <w:rFonts w:asciiTheme="minorHAnsi" w:eastAsia="Times New Roman" w:hAnsiTheme="minorHAnsi"/>
          <w:color w:val="000000"/>
        </w:rPr>
        <w:t xml:space="preserve">at the first sign of a </w:t>
      </w:r>
      <w:r w:rsidR="002745DD">
        <w:rPr>
          <w:rFonts w:asciiTheme="minorHAnsi" w:eastAsia="Times New Roman" w:hAnsiTheme="minorHAnsi"/>
          <w:color w:val="000000"/>
        </w:rPr>
        <w:t xml:space="preserve">death throe. </w:t>
      </w:r>
    </w:p>
    <w:p w14:paraId="24632903" w14:textId="77777777" w:rsidR="00BD435A" w:rsidRDefault="00BD435A" w:rsidP="0084109B">
      <w:pPr>
        <w:jc w:val="both"/>
        <w:rPr>
          <w:rFonts w:asciiTheme="minorHAnsi" w:eastAsia="Times New Roman" w:hAnsiTheme="minorHAnsi"/>
          <w:color w:val="000000"/>
        </w:rPr>
      </w:pPr>
    </w:p>
    <w:p w14:paraId="4422E384" w14:textId="71AD2F82" w:rsidR="00BD435A" w:rsidRPr="00CB1460" w:rsidRDefault="00BD435A" w:rsidP="00BD435A">
      <w:pPr>
        <w:jc w:val="both"/>
        <w:rPr>
          <w:rFonts w:asciiTheme="minorHAnsi" w:eastAsia="Times New Roman" w:hAnsiTheme="minorHAnsi"/>
        </w:rPr>
      </w:pPr>
      <w:r w:rsidRPr="00CB1460">
        <w:rPr>
          <w:rFonts w:asciiTheme="minorHAnsi" w:eastAsia="Times New Roman" w:hAnsiTheme="minorHAnsi"/>
        </w:rPr>
        <w:lastRenderedPageBreak/>
        <w:t>Jimmy Cayne’s,</w:t>
      </w:r>
      <w:r w:rsidRPr="00CB1460">
        <w:rPr>
          <w:rFonts w:asciiTheme="minorHAnsi" w:eastAsia="Times New Roman" w:hAnsiTheme="minorHAnsi"/>
          <w:i/>
        </w:rPr>
        <w:t xml:space="preserve"> </w:t>
      </w:r>
      <w:r w:rsidRPr="00CB1460">
        <w:rPr>
          <w:rFonts w:asciiTheme="minorHAnsi" w:eastAsia="Times New Roman" w:hAnsiTheme="minorHAnsi"/>
        </w:rPr>
        <w:t xml:space="preserve">Bear Stearns’ former CEO, </w:t>
      </w:r>
      <w:r w:rsidR="00906580">
        <w:rPr>
          <w:rFonts w:asciiTheme="minorHAnsi" w:eastAsia="Times New Roman" w:hAnsiTheme="minorHAnsi"/>
        </w:rPr>
        <w:t xml:space="preserve">echoed Fuld’s views in his </w:t>
      </w:r>
      <w:r w:rsidRPr="00CB1460">
        <w:rPr>
          <w:rFonts w:asciiTheme="minorHAnsi" w:eastAsia="Times New Roman" w:hAnsiTheme="minorHAnsi"/>
        </w:rPr>
        <w:t xml:space="preserve">testimony to the FCIC.  </w:t>
      </w:r>
    </w:p>
    <w:p w14:paraId="097F150D" w14:textId="77777777" w:rsidR="00BD435A" w:rsidRPr="00CB1460" w:rsidRDefault="00BD435A" w:rsidP="00BD435A">
      <w:pPr>
        <w:jc w:val="both"/>
        <w:rPr>
          <w:rFonts w:asciiTheme="minorHAnsi" w:eastAsia="Times New Roman" w:hAnsiTheme="minorHAnsi"/>
        </w:rPr>
      </w:pPr>
    </w:p>
    <w:p w14:paraId="6B573BE2" w14:textId="77777777" w:rsidR="00BD435A" w:rsidRPr="00CB1460" w:rsidRDefault="00BD435A" w:rsidP="00BD435A">
      <w:pPr>
        <w:ind w:left="288" w:right="288"/>
        <w:jc w:val="both"/>
        <w:rPr>
          <w:rFonts w:asciiTheme="minorHAnsi" w:eastAsia="Times New Roman" w:hAnsiTheme="minorHAnsi"/>
          <w:i/>
          <w:color w:val="000000"/>
          <w:sz w:val="25"/>
          <w:szCs w:val="25"/>
          <w:shd w:val="clear" w:color="auto" w:fill="FFFFFF"/>
        </w:rPr>
      </w:pPr>
      <w:r w:rsidRPr="00CB1460">
        <w:rPr>
          <w:rFonts w:asciiTheme="minorHAnsi" w:eastAsia="Times New Roman" w:hAnsiTheme="minorHAnsi"/>
          <w:i/>
          <w:color w:val="000000"/>
          <w:sz w:val="25"/>
          <w:szCs w:val="25"/>
          <w:shd w:val="clear" w:color="auto" w:fill="FFFFFF"/>
        </w:rPr>
        <w:t>Bear Stearns's collapse was not the result of any actions or decisions unique to Bear Stearns." Rather, he told the committee, "the market's loss of confidence, even though it was unjustified and irrational, became a self-fulfilling prophecy.</w:t>
      </w:r>
      <w:r w:rsidRPr="00CB1460">
        <w:rPr>
          <w:rStyle w:val="FootnoteReference"/>
          <w:rFonts w:asciiTheme="minorHAnsi" w:eastAsia="Times New Roman" w:hAnsiTheme="minorHAnsi"/>
          <w:i/>
          <w:color w:val="000000"/>
          <w:sz w:val="25"/>
          <w:szCs w:val="25"/>
          <w:shd w:val="clear" w:color="auto" w:fill="FFFFFF"/>
        </w:rPr>
        <w:footnoteReference w:id="53"/>
      </w:r>
      <w:r w:rsidRPr="00CB1460">
        <w:rPr>
          <w:rFonts w:asciiTheme="minorHAnsi" w:eastAsia="Times New Roman" w:hAnsiTheme="minorHAnsi"/>
          <w:i/>
          <w:color w:val="000000"/>
          <w:sz w:val="25"/>
          <w:szCs w:val="25"/>
          <w:shd w:val="clear" w:color="auto" w:fill="FFFFFF"/>
        </w:rPr>
        <w:t xml:space="preserve"> Jimmy Cayne testimony to the FCIC. </w:t>
      </w:r>
    </w:p>
    <w:p w14:paraId="30710197" w14:textId="77777777" w:rsidR="00200B68" w:rsidRDefault="00200B68" w:rsidP="0084109B">
      <w:pPr>
        <w:jc w:val="both"/>
        <w:rPr>
          <w:rFonts w:asciiTheme="minorHAnsi" w:eastAsia="Times New Roman" w:hAnsiTheme="minorHAnsi"/>
          <w:color w:val="000000"/>
        </w:rPr>
      </w:pPr>
    </w:p>
    <w:p w14:paraId="165590F3" w14:textId="08BA8D02" w:rsidR="000167AB" w:rsidRDefault="008C7AE2" w:rsidP="007D6BB3">
      <w:pPr>
        <w:jc w:val="both"/>
        <w:rPr>
          <w:rFonts w:asciiTheme="minorHAnsi" w:eastAsia="Times New Roman" w:hAnsiTheme="minorHAnsi"/>
          <w:color w:val="000000"/>
        </w:rPr>
      </w:pPr>
      <w:r>
        <w:rPr>
          <w:rFonts w:asciiTheme="minorHAnsi" w:eastAsia="Times New Roman" w:hAnsiTheme="minorHAnsi"/>
        </w:rPr>
        <w:t>It’s tempting to dismiss</w:t>
      </w:r>
      <w:r w:rsidR="00BD435A" w:rsidRPr="00CB1460">
        <w:rPr>
          <w:rFonts w:asciiTheme="minorHAnsi" w:eastAsia="Times New Roman" w:hAnsiTheme="minorHAnsi"/>
        </w:rPr>
        <w:t xml:space="preserve"> Fuld’s and Cayne’</w:t>
      </w:r>
      <w:r w:rsidR="00BD435A">
        <w:rPr>
          <w:rFonts w:asciiTheme="minorHAnsi" w:eastAsia="Times New Roman" w:hAnsiTheme="minorHAnsi"/>
        </w:rPr>
        <w:t>s statements</w:t>
      </w:r>
      <w:r w:rsidR="00BD435A" w:rsidRPr="00CB1460">
        <w:rPr>
          <w:rFonts w:asciiTheme="minorHAnsi" w:eastAsia="Times New Roman" w:hAnsiTheme="minorHAnsi"/>
        </w:rPr>
        <w:t xml:space="preserve"> as self-serving. But their i</w:t>
      </w:r>
      <w:r w:rsidR="00DB217D">
        <w:rPr>
          <w:rFonts w:asciiTheme="minorHAnsi" w:eastAsia="Times New Roman" w:hAnsiTheme="minorHAnsi"/>
        </w:rPr>
        <w:t xml:space="preserve">nsider views coincide with those </w:t>
      </w:r>
      <w:r w:rsidR="00BD435A" w:rsidRPr="00CB1460">
        <w:rPr>
          <w:rFonts w:asciiTheme="minorHAnsi" w:eastAsia="Times New Roman" w:hAnsiTheme="minorHAnsi"/>
        </w:rPr>
        <w:t>of then SEC Chairman Cox, the FCIC’s emphasis on</w:t>
      </w:r>
      <w:r w:rsidR="00673F9A">
        <w:rPr>
          <w:rFonts w:asciiTheme="minorHAnsi" w:eastAsia="Times New Roman" w:hAnsiTheme="minorHAnsi"/>
        </w:rPr>
        <w:t xml:space="preserve"> panic and contemporaneous</w:t>
      </w:r>
      <w:r w:rsidR="00845176">
        <w:rPr>
          <w:rFonts w:asciiTheme="minorHAnsi" w:eastAsia="Times New Roman" w:hAnsiTheme="minorHAnsi"/>
        </w:rPr>
        <w:t xml:space="preserve"> statements of </w:t>
      </w:r>
      <w:r w:rsidR="00BD435A" w:rsidRPr="00CB1460">
        <w:rPr>
          <w:rFonts w:asciiTheme="minorHAnsi" w:eastAsia="Times New Roman" w:hAnsiTheme="minorHAnsi"/>
        </w:rPr>
        <w:t xml:space="preserve">impartial observers. </w:t>
      </w:r>
      <w:r w:rsidR="00BD435A">
        <w:rPr>
          <w:rFonts w:asciiTheme="minorHAnsi" w:eastAsia="Times New Roman" w:hAnsiTheme="minorHAnsi"/>
        </w:rPr>
        <w:t xml:space="preserve"> Certainly, there was no fundamental news in Bear’s last week that drove its stock value from </w:t>
      </w:r>
      <w:r w:rsidR="00BD435A" w:rsidRPr="00CB1460">
        <w:rPr>
          <w:rFonts w:asciiTheme="minorHAnsi" w:eastAsia="Times New Roman" w:hAnsiTheme="minorHAnsi"/>
          <w:color w:val="000000"/>
        </w:rPr>
        <w:t xml:space="preserve">$70 </w:t>
      </w:r>
      <w:r w:rsidR="00BD435A">
        <w:rPr>
          <w:rFonts w:asciiTheme="minorHAnsi" w:eastAsia="Times New Roman" w:hAnsiTheme="minorHAnsi"/>
          <w:color w:val="000000"/>
        </w:rPr>
        <w:t xml:space="preserve">a share </w:t>
      </w:r>
      <w:r w:rsidR="00BD435A" w:rsidRPr="00CB1460">
        <w:rPr>
          <w:rFonts w:asciiTheme="minorHAnsi" w:eastAsia="Times New Roman" w:hAnsiTheme="minorHAnsi"/>
          <w:color w:val="000000"/>
        </w:rPr>
        <w:t>on March 10</w:t>
      </w:r>
      <w:r w:rsidR="00BD435A" w:rsidRPr="00CB1460">
        <w:rPr>
          <w:rFonts w:asciiTheme="minorHAnsi" w:eastAsia="Times New Roman" w:hAnsiTheme="minorHAnsi"/>
          <w:color w:val="000000"/>
          <w:vertAlign w:val="superscript"/>
        </w:rPr>
        <w:t>th</w:t>
      </w:r>
      <w:r w:rsidR="00BD435A">
        <w:rPr>
          <w:rFonts w:asciiTheme="minorHAnsi" w:eastAsia="Times New Roman" w:hAnsiTheme="minorHAnsi"/>
          <w:color w:val="000000"/>
        </w:rPr>
        <w:t xml:space="preserve"> to</w:t>
      </w:r>
      <w:r w:rsidR="00BD435A" w:rsidRPr="00CB1460">
        <w:rPr>
          <w:rFonts w:asciiTheme="minorHAnsi" w:eastAsia="Times New Roman" w:hAnsiTheme="minorHAnsi"/>
          <w:color w:val="000000"/>
        </w:rPr>
        <w:t xml:space="preserve"> $2 </w:t>
      </w:r>
      <w:r w:rsidR="00BD435A">
        <w:rPr>
          <w:rFonts w:asciiTheme="minorHAnsi" w:eastAsia="Times New Roman" w:hAnsiTheme="minorHAnsi"/>
          <w:color w:val="000000"/>
        </w:rPr>
        <w:t xml:space="preserve">a share </w:t>
      </w:r>
      <w:r w:rsidR="00C60FF7">
        <w:rPr>
          <w:rFonts w:asciiTheme="minorHAnsi" w:eastAsia="Times New Roman" w:hAnsiTheme="minorHAnsi"/>
          <w:color w:val="000000"/>
        </w:rPr>
        <w:t>on March 16</w:t>
      </w:r>
      <w:r w:rsidR="00C60FF7" w:rsidRPr="00C60FF7">
        <w:rPr>
          <w:rFonts w:asciiTheme="minorHAnsi" w:eastAsia="Times New Roman" w:hAnsiTheme="minorHAnsi"/>
          <w:color w:val="000000"/>
          <w:vertAlign w:val="superscript"/>
        </w:rPr>
        <w:t>th</w:t>
      </w:r>
      <w:r w:rsidR="00C60FF7">
        <w:rPr>
          <w:rFonts w:asciiTheme="minorHAnsi" w:eastAsia="Times New Roman" w:hAnsiTheme="minorHAnsi"/>
          <w:color w:val="000000"/>
        </w:rPr>
        <w:t>.</w:t>
      </w:r>
      <w:r w:rsidR="00C60FF7">
        <w:rPr>
          <w:rStyle w:val="FootnoteReference"/>
          <w:rFonts w:asciiTheme="minorHAnsi" w:eastAsia="Times New Roman" w:hAnsiTheme="minorHAnsi"/>
          <w:color w:val="000000"/>
        </w:rPr>
        <w:footnoteReference w:id="54"/>
      </w:r>
      <w:r w:rsidR="00BD435A">
        <w:rPr>
          <w:rFonts w:asciiTheme="minorHAnsi" w:eastAsia="Times New Roman" w:hAnsiTheme="minorHAnsi"/>
          <w:color w:val="000000"/>
        </w:rPr>
        <w:t xml:space="preserve"> The only </w:t>
      </w:r>
      <w:r w:rsidR="001C0F65">
        <w:rPr>
          <w:rFonts w:asciiTheme="minorHAnsi" w:eastAsia="Times New Roman" w:hAnsiTheme="minorHAnsi"/>
          <w:color w:val="000000"/>
        </w:rPr>
        <w:t xml:space="preserve">real </w:t>
      </w:r>
      <w:r w:rsidR="00BD435A">
        <w:rPr>
          <w:rFonts w:asciiTheme="minorHAnsi" w:eastAsia="Times New Roman" w:hAnsiTheme="minorHAnsi"/>
          <w:color w:val="000000"/>
        </w:rPr>
        <w:t>news was that the bank was experiencing a defunding run and was desperately trying to stay afloat</w:t>
      </w:r>
      <w:r w:rsidR="00794128">
        <w:rPr>
          <w:rFonts w:asciiTheme="minorHAnsi" w:eastAsia="Times New Roman" w:hAnsiTheme="minorHAnsi"/>
          <w:color w:val="000000"/>
        </w:rPr>
        <w:t>.</w:t>
      </w:r>
      <w:r w:rsidR="008B3BE5">
        <w:rPr>
          <w:rFonts w:asciiTheme="minorHAnsi" w:eastAsia="Times New Roman" w:hAnsiTheme="minorHAnsi"/>
          <w:color w:val="000000"/>
        </w:rPr>
        <w:t xml:space="preserve"> </w:t>
      </w:r>
    </w:p>
    <w:p w14:paraId="7260459C" w14:textId="77777777" w:rsidR="00437AD8" w:rsidRDefault="00437AD8" w:rsidP="007D6BB3">
      <w:pPr>
        <w:jc w:val="both"/>
        <w:rPr>
          <w:rFonts w:asciiTheme="minorHAnsi" w:eastAsia="Times New Roman" w:hAnsiTheme="minorHAnsi"/>
          <w:color w:val="000000"/>
        </w:rPr>
      </w:pPr>
    </w:p>
    <w:p w14:paraId="2DE2A1C9" w14:textId="3414FB89" w:rsidR="008A6AB0" w:rsidRDefault="00437AD8" w:rsidP="007D6BB3">
      <w:pPr>
        <w:jc w:val="both"/>
        <w:rPr>
          <w:rFonts w:asciiTheme="minorHAnsi" w:eastAsia="Times New Roman" w:hAnsiTheme="minorHAnsi"/>
          <w:color w:val="000000"/>
        </w:rPr>
      </w:pPr>
      <w:r>
        <w:rPr>
          <w:rFonts w:asciiTheme="minorHAnsi" w:eastAsia="Times New Roman" w:hAnsiTheme="minorHAnsi"/>
          <w:b/>
          <w:color w:val="000000"/>
        </w:rPr>
        <w:t>Betting on the Bad Equilibrium</w:t>
      </w:r>
    </w:p>
    <w:p w14:paraId="54D52587" w14:textId="7DEF9D6A" w:rsidR="00BD435A" w:rsidRPr="00CB1460" w:rsidRDefault="00A9167D" w:rsidP="00BD435A">
      <w:pPr>
        <w:jc w:val="both"/>
        <w:rPr>
          <w:rFonts w:asciiTheme="minorHAnsi" w:eastAsia="Times New Roman" w:hAnsiTheme="minorHAnsi"/>
          <w:color w:val="333333"/>
        </w:rPr>
      </w:pPr>
      <w:r>
        <w:rPr>
          <w:rFonts w:asciiTheme="minorHAnsi" w:eastAsia="Times New Roman" w:hAnsiTheme="minorHAnsi"/>
          <w:color w:val="000000"/>
        </w:rPr>
        <w:t>Economists’</w:t>
      </w:r>
      <w:r w:rsidR="00171F92">
        <w:rPr>
          <w:rFonts w:asciiTheme="minorHAnsi" w:eastAsia="Times New Roman" w:hAnsiTheme="minorHAnsi"/>
          <w:color w:val="000000"/>
        </w:rPr>
        <w:t xml:space="preserve"> models of bank runs incorporate</w:t>
      </w:r>
      <w:r>
        <w:rPr>
          <w:rFonts w:asciiTheme="minorHAnsi" w:eastAsia="Times New Roman" w:hAnsiTheme="minorHAnsi"/>
          <w:color w:val="000000"/>
        </w:rPr>
        <w:t xml:space="preserve"> lots of mechanisms and behaviors. What they don’t include is the possibility that some agents stand ready and able to </w:t>
      </w:r>
      <w:r w:rsidR="00171F92">
        <w:rPr>
          <w:rFonts w:asciiTheme="minorHAnsi" w:eastAsia="Times New Roman" w:hAnsiTheme="minorHAnsi"/>
          <w:color w:val="000000"/>
        </w:rPr>
        <w:t>manufacture</w:t>
      </w:r>
      <w:r w:rsidR="009D471B">
        <w:rPr>
          <w:rFonts w:asciiTheme="minorHAnsi" w:eastAsia="Times New Roman" w:hAnsiTheme="minorHAnsi"/>
          <w:color w:val="000000"/>
        </w:rPr>
        <w:t xml:space="preserve"> financial collapse because doing so will line their pockets</w:t>
      </w:r>
      <w:r w:rsidR="002550A3">
        <w:rPr>
          <w:rFonts w:asciiTheme="minorHAnsi" w:eastAsia="Times New Roman" w:hAnsiTheme="minorHAnsi"/>
          <w:color w:val="000000"/>
        </w:rPr>
        <w:t>, directly or indirectly</w:t>
      </w:r>
      <w:r w:rsidR="009D471B">
        <w:rPr>
          <w:rFonts w:asciiTheme="minorHAnsi" w:eastAsia="Times New Roman" w:hAnsiTheme="minorHAnsi"/>
          <w:color w:val="000000"/>
        </w:rPr>
        <w:t xml:space="preserve">. </w:t>
      </w:r>
      <w:r w:rsidR="00AE212B">
        <w:rPr>
          <w:rFonts w:asciiTheme="minorHAnsi" w:eastAsia="Times New Roman" w:hAnsiTheme="minorHAnsi"/>
          <w:color w:val="000000"/>
        </w:rPr>
        <w:t>Consider, i</w:t>
      </w:r>
      <w:r w:rsidR="009D471B">
        <w:rPr>
          <w:rFonts w:asciiTheme="minorHAnsi" w:eastAsia="Times New Roman" w:hAnsiTheme="minorHAnsi"/>
          <w:color w:val="000000"/>
        </w:rPr>
        <w:t xml:space="preserve">n this regard, </w:t>
      </w:r>
      <w:r w:rsidR="00255920">
        <w:rPr>
          <w:rFonts w:asciiTheme="minorHAnsi" w:eastAsia="Times New Roman" w:hAnsiTheme="minorHAnsi"/>
        </w:rPr>
        <w:t>hedge funds</w:t>
      </w:r>
      <w:r w:rsidR="001A5F0C">
        <w:rPr>
          <w:rFonts w:asciiTheme="minorHAnsi" w:eastAsia="Times New Roman" w:hAnsiTheme="minorHAnsi"/>
        </w:rPr>
        <w:t xml:space="preserve">. </w:t>
      </w:r>
      <w:r w:rsidR="003C078E">
        <w:rPr>
          <w:rFonts w:asciiTheme="minorHAnsi" w:eastAsia="Times New Roman" w:hAnsiTheme="minorHAnsi"/>
        </w:rPr>
        <w:t xml:space="preserve">In the days running up to Bear’s demise, </w:t>
      </w:r>
      <w:r w:rsidR="00B91066">
        <w:rPr>
          <w:rFonts w:asciiTheme="minorHAnsi" w:eastAsia="Times New Roman" w:hAnsiTheme="minorHAnsi"/>
        </w:rPr>
        <w:t xml:space="preserve">hedge funds pulled the plug on Bear by withdrawing </w:t>
      </w:r>
      <w:r w:rsidR="0015438C">
        <w:rPr>
          <w:rFonts w:asciiTheme="minorHAnsi" w:eastAsia="Times New Roman" w:hAnsiTheme="minorHAnsi"/>
        </w:rPr>
        <w:t xml:space="preserve">their </w:t>
      </w:r>
      <w:r w:rsidR="00130778">
        <w:rPr>
          <w:rFonts w:asciiTheme="minorHAnsi" w:eastAsia="Times New Roman" w:hAnsiTheme="minorHAnsi"/>
        </w:rPr>
        <w:t>deposits en masse from Bear’s prime brokerage. This was discussed by the BBC in an article entitled, “How Hedge Funds Sank Bear Stearns.”</w:t>
      </w:r>
      <w:r w:rsidR="00130778">
        <w:rPr>
          <w:rStyle w:val="FootnoteReference"/>
          <w:rFonts w:asciiTheme="minorHAnsi" w:eastAsia="Times New Roman" w:hAnsiTheme="minorHAnsi"/>
        </w:rPr>
        <w:footnoteReference w:id="55"/>
      </w:r>
      <w:r w:rsidR="00BD435A">
        <w:rPr>
          <w:rFonts w:asciiTheme="minorHAnsi" w:eastAsia="Times New Roman" w:hAnsiTheme="minorHAnsi"/>
        </w:rPr>
        <w:t xml:space="preserve"> What’s not known is whether th</w:t>
      </w:r>
      <w:r w:rsidR="00F67B30">
        <w:rPr>
          <w:rFonts w:asciiTheme="minorHAnsi" w:eastAsia="Times New Roman" w:hAnsiTheme="minorHAnsi"/>
        </w:rPr>
        <w:t>ese hedge funds also took</w:t>
      </w:r>
      <w:r w:rsidR="00BD435A">
        <w:rPr>
          <w:rFonts w:asciiTheme="minorHAnsi" w:eastAsia="Times New Roman" w:hAnsiTheme="minorHAnsi"/>
        </w:rPr>
        <w:t xml:space="preserve"> short posi</w:t>
      </w:r>
      <w:r w:rsidR="00FF3D22">
        <w:rPr>
          <w:rFonts w:asciiTheme="minorHAnsi" w:eastAsia="Times New Roman" w:hAnsiTheme="minorHAnsi"/>
        </w:rPr>
        <w:t xml:space="preserve">tions and, effectively, </w:t>
      </w:r>
      <w:r w:rsidR="00F67B30">
        <w:rPr>
          <w:rFonts w:asciiTheme="minorHAnsi" w:eastAsia="Times New Roman" w:hAnsiTheme="minorHAnsi"/>
        </w:rPr>
        <w:t>cornered</w:t>
      </w:r>
      <w:r w:rsidR="00BD435A">
        <w:rPr>
          <w:rFonts w:asciiTheme="minorHAnsi" w:eastAsia="Times New Roman" w:hAnsiTheme="minorHAnsi"/>
        </w:rPr>
        <w:t xml:space="preserve"> the </w:t>
      </w:r>
      <w:r w:rsidR="00FF3D22">
        <w:rPr>
          <w:rFonts w:asciiTheme="minorHAnsi" w:eastAsia="Times New Roman" w:hAnsiTheme="minorHAnsi"/>
        </w:rPr>
        <w:t xml:space="preserve">short </w:t>
      </w:r>
      <w:r w:rsidR="00BD435A">
        <w:rPr>
          <w:rFonts w:asciiTheme="minorHAnsi" w:eastAsia="Times New Roman" w:hAnsiTheme="minorHAnsi"/>
        </w:rPr>
        <w:t xml:space="preserve">market. Such actions would, presumably, </w:t>
      </w:r>
      <w:r w:rsidR="00F67B30">
        <w:rPr>
          <w:rFonts w:asciiTheme="minorHAnsi" w:eastAsia="Times New Roman" w:hAnsiTheme="minorHAnsi"/>
        </w:rPr>
        <w:t xml:space="preserve">have been </w:t>
      </w:r>
      <w:r w:rsidR="00BD435A">
        <w:rPr>
          <w:rFonts w:asciiTheme="minorHAnsi" w:eastAsia="Times New Roman" w:hAnsiTheme="minorHAnsi"/>
        </w:rPr>
        <w:t xml:space="preserve">illegal. What is </w:t>
      </w:r>
      <w:r w:rsidR="00B41A94">
        <w:rPr>
          <w:rFonts w:asciiTheme="minorHAnsi" w:eastAsia="Times New Roman" w:hAnsiTheme="minorHAnsi"/>
        </w:rPr>
        <w:t xml:space="preserve">known is that </w:t>
      </w:r>
      <w:r w:rsidR="00BD435A">
        <w:rPr>
          <w:rFonts w:asciiTheme="minorHAnsi" w:eastAsia="Times New Roman" w:hAnsiTheme="minorHAnsi"/>
        </w:rPr>
        <w:t xml:space="preserve">false rumors </w:t>
      </w:r>
      <w:r w:rsidR="00B41A94">
        <w:rPr>
          <w:rFonts w:asciiTheme="minorHAnsi" w:eastAsia="Times New Roman" w:hAnsiTheme="minorHAnsi"/>
        </w:rPr>
        <w:t xml:space="preserve">were planted – rumors that </w:t>
      </w:r>
      <w:r w:rsidR="00B9123A">
        <w:rPr>
          <w:rFonts w:asciiTheme="minorHAnsi" w:eastAsia="Times New Roman" w:hAnsiTheme="minorHAnsi"/>
        </w:rPr>
        <w:t>improved the position of the shorts.</w:t>
      </w:r>
      <w:r w:rsidR="00A915FD">
        <w:rPr>
          <w:rStyle w:val="FootnoteReference"/>
          <w:rFonts w:asciiTheme="minorHAnsi" w:eastAsia="Times New Roman" w:hAnsiTheme="minorHAnsi"/>
        </w:rPr>
        <w:footnoteReference w:id="56"/>
      </w:r>
      <w:r w:rsidR="00B9123A">
        <w:rPr>
          <w:rFonts w:asciiTheme="minorHAnsi" w:eastAsia="Times New Roman" w:hAnsiTheme="minorHAnsi"/>
        </w:rPr>
        <w:t xml:space="preserve"> </w:t>
      </w:r>
      <w:r w:rsidR="00BD435A">
        <w:rPr>
          <w:rFonts w:asciiTheme="minorHAnsi" w:eastAsia="Times New Roman" w:hAnsiTheme="minorHAnsi"/>
        </w:rPr>
        <w:t xml:space="preserve">According to the </w:t>
      </w:r>
      <w:r w:rsidR="00BD435A" w:rsidRPr="00CB1460">
        <w:rPr>
          <w:rFonts w:asciiTheme="minorHAnsi" w:eastAsia="Times New Roman" w:hAnsiTheme="minorHAnsi"/>
          <w:color w:val="333333"/>
        </w:rPr>
        <w:t xml:space="preserve">NY Times, </w:t>
      </w:r>
    </w:p>
    <w:p w14:paraId="100D903A" w14:textId="77777777" w:rsidR="00BD435A" w:rsidRPr="00CB1460" w:rsidRDefault="00BD435A" w:rsidP="00BD435A">
      <w:pPr>
        <w:ind w:right="288"/>
        <w:jc w:val="both"/>
        <w:rPr>
          <w:rFonts w:asciiTheme="minorHAnsi" w:eastAsia="Times New Roman" w:hAnsiTheme="minorHAnsi"/>
          <w:color w:val="333333"/>
        </w:rPr>
      </w:pPr>
    </w:p>
    <w:p w14:paraId="7362AEEC" w14:textId="77777777" w:rsidR="00BD435A" w:rsidRDefault="00BD435A" w:rsidP="00BD435A">
      <w:pPr>
        <w:ind w:left="288" w:right="288"/>
        <w:jc w:val="both"/>
        <w:rPr>
          <w:rFonts w:asciiTheme="minorHAnsi" w:eastAsia="Times New Roman" w:hAnsiTheme="minorHAnsi"/>
          <w:i/>
          <w:color w:val="333333"/>
          <w:shd w:val="clear" w:color="auto" w:fill="FFFFFF"/>
        </w:rPr>
      </w:pPr>
      <w:r w:rsidRPr="00CB1460">
        <w:rPr>
          <w:rFonts w:asciiTheme="minorHAnsi" w:eastAsia="Times New Roman" w:hAnsiTheme="minorHAnsi"/>
          <w:i/>
          <w:color w:val="333333"/>
          <w:shd w:val="clear" w:color="auto" w:fill="FFFFFF"/>
        </w:rPr>
        <w:t>Speculation about a cash shortage drove Bear stock down almost 60 percent in a few days, a decline that coincided with a surge in short bets against the firm’s stock. Alan D. Schwartz, the chief executive of Bear, later said that malicious rumors helped fuel the panic.</w:t>
      </w:r>
      <w:r w:rsidRPr="00CB1460">
        <w:rPr>
          <w:rStyle w:val="FootnoteReference"/>
          <w:rFonts w:asciiTheme="minorHAnsi" w:eastAsia="Times New Roman" w:hAnsiTheme="minorHAnsi"/>
          <w:i/>
          <w:color w:val="333333"/>
          <w:shd w:val="clear" w:color="auto" w:fill="FFFFFF"/>
        </w:rPr>
        <w:footnoteReference w:id="57"/>
      </w:r>
    </w:p>
    <w:p w14:paraId="144F4F96" w14:textId="77777777" w:rsidR="00F564E5" w:rsidRDefault="00F564E5" w:rsidP="00F564E5">
      <w:pPr>
        <w:ind w:right="288"/>
        <w:jc w:val="both"/>
        <w:rPr>
          <w:rFonts w:asciiTheme="minorHAnsi" w:eastAsia="Times New Roman" w:hAnsiTheme="minorHAnsi"/>
          <w:i/>
          <w:color w:val="333333"/>
          <w:shd w:val="clear" w:color="auto" w:fill="FFFFFF"/>
        </w:rPr>
      </w:pPr>
    </w:p>
    <w:p w14:paraId="7570BDB6" w14:textId="32912712" w:rsidR="001F5D3B" w:rsidRDefault="00F564E5" w:rsidP="00F564E5">
      <w:pPr>
        <w:ind w:right="288"/>
        <w:jc w:val="both"/>
        <w:rPr>
          <w:rFonts w:asciiTheme="minorHAnsi" w:eastAsia="Times New Roman" w:hAnsiTheme="minorHAnsi"/>
          <w:color w:val="333333"/>
          <w:shd w:val="clear" w:color="auto" w:fill="FFFFFF"/>
        </w:rPr>
      </w:pPr>
      <w:r>
        <w:rPr>
          <w:rFonts w:asciiTheme="minorHAnsi" w:eastAsia="Times New Roman" w:hAnsiTheme="minorHAnsi"/>
          <w:color w:val="333333"/>
          <w:shd w:val="clear" w:color="auto" w:fill="FFFFFF"/>
        </w:rPr>
        <w:t xml:space="preserve">The Washington Post wrote that the SEC was investigating short sales in conjunction with </w:t>
      </w:r>
      <w:r w:rsidR="00B7290B">
        <w:rPr>
          <w:rFonts w:asciiTheme="minorHAnsi" w:eastAsia="Times New Roman" w:hAnsiTheme="minorHAnsi"/>
          <w:color w:val="333333"/>
          <w:shd w:val="clear" w:color="auto" w:fill="FFFFFF"/>
        </w:rPr>
        <w:t>Bear’s failure.</w:t>
      </w:r>
      <w:r w:rsidR="001F5D3B">
        <w:rPr>
          <w:rFonts w:asciiTheme="minorHAnsi" w:eastAsia="Times New Roman" w:hAnsiTheme="minorHAnsi"/>
          <w:color w:val="333333"/>
          <w:shd w:val="clear" w:color="auto" w:fill="FFFFFF"/>
        </w:rPr>
        <w:t xml:space="preserve"> </w:t>
      </w:r>
    </w:p>
    <w:p w14:paraId="35986430" w14:textId="6B8869DF" w:rsidR="001F5D3B" w:rsidRPr="001F5D3B" w:rsidRDefault="001F5D3B" w:rsidP="001F5D3B">
      <w:pPr>
        <w:pStyle w:val="NormalWeb"/>
        <w:shd w:val="clear" w:color="auto" w:fill="FFFFFF"/>
        <w:ind w:left="288" w:right="288"/>
        <w:jc w:val="both"/>
        <w:rPr>
          <w:rFonts w:asciiTheme="minorHAnsi" w:hAnsiTheme="minorHAnsi"/>
          <w:i/>
          <w:color w:val="000000"/>
          <w:sz w:val="25"/>
          <w:szCs w:val="25"/>
        </w:rPr>
      </w:pPr>
      <w:r w:rsidRPr="001F5D3B">
        <w:rPr>
          <w:rFonts w:asciiTheme="minorHAnsi" w:hAnsiTheme="minorHAnsi"/>
          <w:i/>
          <w:color w:val="000000"/>
          <w:sz w:val="25"/>
          <w:szCs w:val="25"/>
        </w:rPr>
        <w:t>An unusual spike in trading of Bear Stearns shares preceded the collapse of the 85-year-old Wall Street institution last week, and the Securities and Exchange Commission is looking into this activity, said a person familiar with the matter.</w:t>
      </w:r>
      <w:r>
        <w:rPr>
          <w:rFonts w:asciiTheme="minorHAnsi" w:hAnsiTheme="minorHAnsi"/>
          <w:i/>
          <w:color w:val="000000"/>
          <w:sz w:val="25"/>
          <w:szCs w:val="25"/>
        </w:rPr>
        <w:t xml:space="preserve"> </w:t>
      </w:r>
      <w:r w:rsidRPr="001F5D3B">
        <w:rPr>
          <w:rFonts w:asciiTheme="minorHAnsi" w:hAnsiTheme="minorHAnsi"/>
          <w:i/>
          <w:color w:val="000000"/>
          <w:sz w:val="25"/>
          <w:szCs w:val="25"/>
        </w:rPr>
        <w:t xml:space="preserve">In particular, the SEC is </w:t>
      </w:r>
      <w:r w:rsidRPr="001F5D3B">
        <w:rPr>
          <w:rFonts w:asciiTheme="minorHAnsi" w:hAnsiTheme="minorHAnsi"/>
          <w:i/>
          <w:color w:val="000000"/>
          <w:sz w:val="25"/>
          <w:szCs w:val="25"/>
        </w:rPr>
        <w:lastRenderedPageBreak/>
        <w:t>examining a surge in short selling that occurred days before the trouble at Bear Stearns was revealed publicly.</w:t>
      </w:r>
      <w:r w:rsidR="00681898">
        <w:rPr>
          <w:rStyle w:val="FootnoteReference"/>
          <w:rFonts w:asciiTheme="minorHAnsi" w:eastAsia="Times New Roman" w:hAnsiTheme="minorHAnsi"/>
          <w:color w:val="333333"/>
          <w:shd w:val="clear" w:color="auto" w:fill="FFFFFF"/>
        </w:rPr>
        <w:footnoteReference w:id="58"/>
      </w:r>
    </w:p>
    <w:p w14:paraId="33A689C2" w14:textId="0D407522" w:rsidR="00645FC1" w:rsidRPr="00CB1460" w:rsidRDefault="00FE2C15" w:rsidP="0084109B">
      <w:pPr>
        <w:jc w:val="both"/>
        <w:rPr>
          <w:rFonts w:asciiTheme="minorHAnsi" w:eastAsia="Times New Roman" w:hAnsiTheme="minorHAnsi"/>
        </w:rPr>
      </w:pPr>
      <w:r>
        <w:rPr>
          <w:rFonts w:asciiTheme="minorHAnsi" w:eastAsia="Times New Roman" w:hAnsiTheme="minorHAnsi"/>
        </w:rPr>
        <w:t>Shortly after Lehman</w:t>
      </w:r>
      <w:r w:rsidR="002E4EBE" w:rsidRPr="00CB1460">
        <w:rPr>
          <w:rFonts w:asciiTheme="minorHAnsi" w:eastAsia="Times New Roman" w:hAnsiTheme="minorHAnsi"/>
        </w:rPr>
        <w:t xml:space="preserve"> failed, John Mac, head of Morgan Stanley, memo’d his company that </w:t>
      </w:r>
    </w:p>
    <w:p w14:paraId="57817BC7" w14:textId="77777777" w:rsidR="002E4EBE" w:rsidRPr="00CB1460" w:rsidRDefault="002E4EBE" w:rsidP="0084109B">
      <w:pPr>
        <w:jc w:val="both"/>
        <w:rPr>
          <w:rFonts w:asciiTheme="minorHAnsi" w:eastAsia="Times New Roman" w:hAnsiTheme="minorHAnsi"/>
        </w:rPr>
      </w:pPr>
    </w:p>
    <w:p w14:paraId="054F4608" w14:textId="79CBAC89" w:rsidR="002E4EBE" w:rsidRPr="00CB1460" w:rsidRDefault="002E4EBE" w:rsidP="002E4EBE">
      <w:pPr>
        <w:ind w:left="288" w:right="288"/>
        <w:jc w:val="both"/>
        <w:rPr>
          <w:rFonts w:asciiTheme="minorHAnsi" w:eastAsia="Times New Roman" w:hAnsiTheme="minorHAnsi"/>
          <w:i/>
          <w:color w:val="333333"/>
        </w:rPr>
      </w:pPr>
      <w:r w:rsidRPr="00CB1460">
        <w:rPr>
          <w:rFonts w:asciiTheme="minorHAnsi" w:eastAsia="Times New Roman" w:hAnsiTheme="minorHAnsi"/>
          <w:i/>
          <w:color w:val="333333"/>
        </w:rPr>
        <w:t>What's happening out there? It's very clear to me — we're in the midst of a market controlled by fear and rumors, and short sellers are driving our stock down.</w:t>
      </w:r>
      <w:r w:rsidR="00090D98" w:rsidRPr="00CB1460">
        <w:rPr>
          <w:rStyle w:val="FootnoteReference"/>
          <w:rFonts w:asciiTheme="minorHAnsi" w:eastAsia="Times New Roman" w:hAnsiTheme="minorHAnsi"/>
          <w:i/>
          <w:color w:val="333333"/>
        </w:rPr>
        <w:footnoteReference w:id="59"/>
      </w:r>
    </w:p>
    <w:p w14:paraId="2055A256" w14:textId="77777777" w:rsidR="0044509D" w:rsidRPr="00CB1460" w:rsidRDefault="0044509D" w:rsidP="0044509D">
      <w:pPr>
        <w:ind w:left="288" w:right="288"/>
        <w:jc w:val="both"/>
        <w:rPr>
          <w:rFonts w:asciiTheme="minorHAnsi" w:eastAsia="Times New Roman" w:hAnsiTheme="minorHAnsi"/>
          <w:i/>
        </w:rPr>
      </w:pPr>
    </w:p>
    <w:p w14:paraId="650C3D00" w14:textId="1D35C9E5" w:rsidR="00766438" w:rsidRPr="00CB1460" w:rsidRDefault="0065131C" w:rsidP="00766438">
      <w:pPr>
        <w:jc w:val="both"/>
        <w:rPr>
          <w:rFonts w:asciiTheme="minorHAnsi" w:eastAsia="Times New Roman" w:hAnsiTheme="minorHAnsi"/>
          <w:color w:val="000000"/>
        </w:rPr>
      </w:pPr>
      <w:r>
        <w:rPr>
          <w:rFonts w:asciiTheme="minorHAnsi" w:eastAsia="Times New Roman" w:hAnsiTheme="minorHAnsi"/>
        </w:rPr>
        <w:t xml:space="preserve">As with hedge funds and banks competing with Bear and Lehman, we may never learn </w:t>
      </w:r>
      <w:r w:rsidR="00766438" w:rsidRPr="00CB1460">
        <w:rPr>
          <w:rFonts w:asciiTheme="minorHAnsi" w:eastAsia="Times New Roman" w:hAnsiTheme="minorHAnsi"/>
        </w:rPr>
        <w:t xml:space="preserve">the </w:t>
      </w:r>
      <w:r w:rsidR="00B9123A">
        <w:rPr>
          <w:rFonts w:asciiTheme="minorHAnsi" w:eastAsia="Times New Roman" w:hAnsiTheme="minorHAnsi"/>
        </w:rPr>
        <w:t>full</w:t>
      </w:r>
      <w:r w:rsidR="009A60AE" w:rsidRPr="00CB1460">
        <w:rPr>
          <w:rFonts w:asciiTheme="minorHAnsi" w:eastAsia="Times New Roman" w:hAnsiTheme="minorHAnsi"/>
        </w:rPr>
        <w:t xml:space="preserve"> </w:t>
      </w:r>
      <w:r w:rsidR="00B9123A">
        <w:rPr>
          <w:rFonts w:asciiTheme="minorHAnsi" w:eastAsia="Times New Roman" w:hAnsiTheme="minorHAnsi"/>
        </w:rPr>
        <w:t xml:space="preserve">behavior of short </w:t>
      </w:r>
      <w:r w:rsidR="00766438" w:rsidRPr="00CB1460">
        <w:rPr>
          <w:rFonts w:asciiTheme="minorHAnsi" w:eastAsia="Times New Roman" w:hAnsiTheme="minorHAnsi"/>
        </w:rPr>
        <w:t>s</w:t>
      </w:r>
      <w:r w:rsidR="00F51789" w:rsidRPr="00CB1460">
        <w:rPr>
          <w:rFonts w:asciiTheme="minorHAnsi" w:eastAsia="Times New Roman" w:hAnsiTheme="minorHAnsi"/>
        </w:rPr>
        <w:t>ellers</w:t>
      </w:r>
      <w:r w:rsidR="00EB69C0">
        <w:rPr>
          <w:rFonts w:asciiTheme="minorHAnsi" w:eastAsia="Times New Roman" w:hAnsiTheme="minorHAnsi"/>
        </w:rPr>
        <w:t xml:space="preserve">. </w:t>
      </w:r>
      <w:r w:rsidR="009A60AE" w:rsidRPr="00CB1460">
        <w:rPr>
          <w:rFonts w:asciiTheme="minorHAnsi" w:eastAsia="Times New Roman" w:hAnsiTheme="minorHAnsi"/>
        </w:rPr>
        <w:t xml:space="preserve">But </w:t>
      </w:r>
      <w:r w:rsidR="00F51789" w:rsidRPr="00CB1460">
        <w:rPr>
          <w:rFonts w:asciiTheme="minorHAnsi" w:eastAsia="Times New Roman" w:hAnsiTheme="minorHAnsi"/>
        </w:rPr>
        <w:t xml:space="preserve">Vanity Fair described </w:t>
      </w:r>
      <w:r w:rsidR="00612E1C">
        <w:rPr>
          <w:rFonts w:asciiTheme="minorHAnsi" w:eastAsia="Times New Roman" w:hAnsiTheme="minorHAnsi"/>
        </w:rPr>
        <w:t xml:space="preserve">what happened to </w:t>
      </w:r>
      <w:r w:rsidR="00766438" w:rsidRPr="00CB1460">
        <w:rPr>
          <w:rFonts w:asciiTheme="minorHAnsi" w:eastAsia="Times New Roman" w:hAnsiTheme="minorHAnsi"/>
          <w:color w:val="000000"/>
        </w:rPr>
        <w:t xml:space="preserve">Bear Stearns </w:t>
      </w:r>
      <w:r w:rsidR="00612E1C">
        <w:rPr>
          <w:rFonts w:asciiTheme="minorHAnsi" w:eastAsia="Times New Roman" w:hAnsiTheme="minorHAnsi"/>
          <w:color w:val="000000"/>
        </w:rPr>
        <w:t xml:space="preserve">as “murder” – </w:t>
      </w:r>
      <w:r w:rsidR="00766438" w:rsidRPr="00CB1460">
        <w:rPr>
          <w:rFonts w:asciiTheme="minorHAnsi" w:eastAsia="Times New Roman" w:hAnsiTheme="minorHAnsi"/>
          <w:color w:val="000000"/>
        </w:rPr>
        <w:t>murder</w:t>
      </w:r>
      <w:r w:rsidR="003F458E">
        <w:rPr>
          <w:rFonts w:asciiTheme="minorHAnsi" w:eastAsia="Times New Roman" w:hAnsiTheme="minorHAnsi"/>
          <w:color w:val="000000"/>
        </w:rPr>
        <w:t xml:space="preserve"> facilitated by opacity so deep</w:t>
      </w:r>
      <w:r w:rsidR="00766438" w:rsidRPr="00CB1460">
        <w:rPr>
          <w:rFonts w:asciiTheme="minorHAnsi" w:eastAsia="Times New Roman" w:hAnsiTheme="minorHAnsi"/>
          <w:color w:val="000000"/>
        </w:rPr>
        <w:t xml:space="preserve"> that team</w:t>
      </w:r>
      <w:r w:rsidR="00E26D07">
        <w:rPr>
          <w:rFonts w:asciiTheme="minorHAnsi" w:eastAsia="Times New Roman" w:hAnsiTheme="minorHAnsi"/>
          <w:color w:val="000000"/>
        </w:rPr>
        <w:t>s of potential suitors couldn’t</w:t>
      </w:r>
      <w:r w:rsidR="00766438" w:rsidRPr="00CB1460">
        <w:rPr>
          <w:rFonts w:asciiTheme="minorHAnsi" w:eastAsia="Times New Roman" w:hAnsiTheme="minorHAnsi"/>
          <w:color w:val="000000"/>
        </w:rPr>
        <w:t xml:space="preserve"> figure out</w:t>
      </w:r>
      <w:r>
        <w:rPr>
          <w:rFonts w:asciiTheme="minorHAnsi" w:eastAsia="Times New Roman" w:hAnsiTheme="minorHAnsi"/>
          <w:color w:val="000000"/>
        </w:rPr>
        <w:t xml:space="preserve">, </w:t>
      </w:r>
      <w:r w:rsidR="00692385">
        <w:rPr>
          <w:rFonts w:asciiTheme="minorHAnsi" w:eastAsia="Times New Roman" w:hAnsiTheme="minorHAnsi"/>
          <w:color w:val="000000"/>
        </w:rPr>
        <w:t xml:space="preserve">within </w:t>
      </w:r>
      <w:r w:rsidR="00DE4AC1">
        <w:rPr>
          <w:rFonts w:asciiTheme="minorHAnsi" w:eastAsia="Times New Roman" w:hAnsiTheme="minorHAnsi"/>
          <w:color w:val="000000"/>
        </w:rPr>
        <w:t>the Bear</w:t>
      </w:r>
      <w:r w:rsidR="00692385">
        <w:rPr>
          <w:rFonts w:asciiTheme="minorHAnsi" w:eastAsia="Times New Roman" w:hAnsiTheme="minorHAnsi"/>
          <w:color w:val="000000"/>
        </w:rPr>
        <w:t>’</w:t>
      </w:r>
      <w:r w:rsidR="004811C9">
        <w:rPr>
          <w:rFonts w:asciiTheme="minorHAnsi" w:eastAsia="Times New Roman" w:hAnsiTheme="minorHAnsi"/>
          <w:color w:val="000000"/>
        </w:rPr>
        <w:t>s</w:t>
      </w:r>
      <w:r>
        <w:rPr>
          <w:rFonts w:asciiTheme="minorHAnsi" w:eastAsia="Times New Roman" w:hAnsiTheme="minorHAnsi"/>
          <w:color w:val="000000"/>
        </w:rPr>
        <w:t xml:space="preserve"> </w:t>
      </w:r>
      <w:r w:rsidR="00A023AF">
        <w:rPr>
          <w:rFonts w:asciiTheme="minorHAnsi" w:eastAsia="Times New Roman" w:hAnsiTheme="minorHAnsi"/>
          <w:color w:val="000000"/>
        </w:rPr>
        <w:t xml:space="preserve">time </w:t>
      </w:r>
      <w:r w:rsidR="00692385">
        <w:rPr>
          <w:rFonts w:asciiTheme="minorHAnsi" w:eastAsia="Times New Roman" w:hAnsiTheme="minorHAnsi"/>
          <w:color w:val="000000"/>
        </w:rPr>
        <w:t>window</w:t>
      </w:r>
      <w:r w:rsidR="00A023AF">
        <w:rPr>
          <w:rFonts w:asciiTheme="minorHAnsi" w:eastAsia="Times New Roman" w:hAnsiTheme="minorHAnsi"/>
          <w:color w:val="000000"/>
        </w:rPr>
        <w:t xml:space="preserve">, </w:t>
      </w:r>
      <w:r w:rsidR="001B24A5">
        <w:rPr>
          <w:rFonts w:asciiTheme="minorHAnsi" w:eastAsia="Times New Roman" w:hAnsiTheme="minorHAnsi"/>
          <w:color w:val="000000"/>
        </w:rPr>
        <w:t>what the Bear</w:t>
      </w:r>
      <w:r w:rsidR="00766438" w:rsidRPr="00CB1460">
        <w:rPr>
          <w:rFonts w:asciiTheme="minorHAnsi" w:eastAsia="Times New Roman" w:hAnsiTheme="minorHAnsi"/>
          <w:color w:val="000000"/>
        </w:rPr>
        <w:t>’s assets were worth.</w:t>
      </w:r>
      <w:r w:rsidR="00766438" w:rsidRPr="00CB1460">
        <w:rPr>
          <w:rStyle w:val="FootnoteReference"/>
          <w:rFonts w:asciiTheme="minorHAnsi" w:eastAsia="Times New Roman" w:hAnsiTheme="minorHAnsi"/>
          <w:color w:val="000000"/>
        </w:rPr>
        <w:footnoteReference w:id="60"/>
      </w:r>
      <w:r w:rsidR="00EB69C0">
        <w:rPr>
          <w:rFonts w:asciiTheme="minorHAnsi" w:eastAsia="Times New Roman" w:hAnsiTheme="minorHAnsi"/>
          <w:color w:val="000000"/>
        </w:rPr>
        <w:t xml:space="preserve"> To quote from</w:t>
      </w:r>
      <w:r w:rsidR="00766438" w:rsidRPr="00CB1460">
        <w:rPr>
          <w:rFonts w:asciiTheme="minorHAnsi" w:eastAsia="Times New Roman" w:hAnsiTheme="minorHAnsi"/>
          <w:color w:val="000000"/>
        </w:rPr>
        <w:t xml:space="preserve"> the article, </w:t>
      </w:r>
    </w:p>
    <w:p w14:paraId="218D25DF" w14:textId="77777777" w:rsidR="00766438" w:rsidRPr="00CB1460" w:rsidRDefault="00766438" w:rsidP="00766438">
      <w:pPr>
        <w:jc w:val="both"/>
        <w:rPr>
          <w:rFonts w:asciiTheme="minorHAnsi" w:eastAsia="Times New Roman" w:hAnsiTheme="minorHAnsi"/>
          <w:color w:val="000000"/>
        </w:rPr>
      </w:pPr>
    </w:p>
    <w:p w14:paraId="3EF2975B" w14:textId="77777777" w:rsidR="00766438" w:rsidRPr="00CB1460" w:rsidRDefault="00766438" w:rsidP="00766438">
      <w:pPr>
        <w:ind w:left="288" w:right="288"/>
        <w:jc w:val="both"/>
        <w:rPr>
          <w:rFonts w:asciiTheme="minorHAnsi" w:eastAsia="Times New Roman" w:hAnsiTheme="minorHAnsi"/>
          <w:i/>
        </w:rPr>
      </w:pPr>
      <w:r w:rsidRPr="00CB1460">
        <w:rPr>
          <w:rFonts w:asciiTheme="minorHAnsi" w:eastAsia="Times New Roman" w:hAnsiTheme="minorHAnsi"/>
          <w:i/>
          <w:color w:val="000000"/>
          <w:sz w:val="25"/>
          <w:szCs w:val="25"/>
          <w:shd w:val="clear" w:color="auto" w:fill="FFFFFF"/>
        </w:rPr>
        <w:t>The fall of Bear Stearns wasn’t just another financial collapse. There has never been anything on Wall Street to compare to it: a “run” on a major investment bank, caused in large part not by a criminal indictment or some mammoth quarterly loss but by rumor and innuendo that, as best one can tell, had little basis in fact. Bear had endured more than its share of self-inflicted wounds in the previous year, but there was no reason it had to die that week in March.</w:t>
      </w:r>
      <w:r w:rsidRPr="00CB1460">
        <w:rPr>
          <w:rStyle w:val="FootnoteReference"/>
          <w:rFonts w:asciiTheme="minorHAnsi" w:eastAsia="Times New Roman" w:hAnsiTheme="minorHAnsi"/>
          <w:i/>
          <w:color w:val="000000"/>
          <w:sz w:val="25"/>
          <w:szCs w:val="25"/>
          <w:shd w:val="clear" w:color="auto" w:fill="FFFFFF"/>
        </w:rPr>
        <w:footnoteReference w:id="61"/>
      </w:r>
      <w:r w:rsidRPr="00CB1460">
        <w:rPr>
          <w:rFonts w:asciiTheme="minorHAnsi" w:eastAsia="Times New Roman" w:hAnsiTheme="minorHAnsi"/>
          <w:i/>
          <w:color w:val="000000"/>
          <w:sz w:val="25"/>
          <w:szCs w:val="25"/>
          <w:shd w:val="clear" w:color="auto" w:fill="FFFFFF"/>
        </w:rPr>
        <w:t xml:space="preserve"> </w:t>
      </w:r>
    </w:p>
    <w:p w14:paraId="7C5E1D39" w14:textId="77777777" w:rsidR="00F17B4B" w:rsidRPr="00CB1460" w:rsidRDefault="00F17B4B" w:rsidP="0084109B">
      <w:pPr>
        <w:jc w:val="both"/>
        <w:rPr>
          <w:rFonts w:asciiTheme="minorHAnsi" w:eastAsia="Times New Roman" w:hAnsiTheme="minorHAnsi"/>
        </w:rPr>
      </w:pPr>
    </w:p>
    <w:p w14:paraId="1F597E2D" w14:textId="6EAF813F" w:rsidR="00FE3501" w:rsidRPr="00EC5977" w:rsidRDefault="00F17B4B" w:rsidP="002C5FC0">
      <w:pPr>
        <w:jc w:val="both"/>
        <w:rPr>
          <w:rFonts w:ascii="Calibri" w:eastAsia="Times New Roman" w:hAnsi="Calibri"/>
          <w:bCs/>
          <w:color w:val="000000"/>
          <w:spacing w:val="-6"/>
          <w:shd w:val="clear" w:color="auto" w:fill="FFFFFF"/>
        </w:rPr>
      </w:pPr>
      <w:r w:rsidRPr="00CB1460">
        <w:rPr>
          <w:rFonts w:asciiTheme="minorHAnsi" w:eastAsia="Times New Roman" w:hAnsiTheme="minorHAnsi"/>
        </w:rPr>
        <w:t xml:space="preserve">According to this view, </w:t>
      </w:r>
      <w:r w:rsidRPr="00CB1460">
        <w:rPr>
          <w:rFonts w:asciiTheme="minorHAnsi" w:eastAsia="Times New Roman" w:hAnsiTheme="minorHAnsi"/>
          <w:color w:val="000000"/>
        </w:rPr>
        <w:t>s</w:t>
      </w:r>
      <w:r w:rsidR="00A023AF">
        <w:rPr>
          <w:rFonts w:asciiTheme="minorHAnsi" w:eastAsia="Times New Roman" w:hAnsiTheme="minorHAnsi"/>
          <w:color w:val="000000"/>
        </w:rPr>
        <w:t>peculators</w:t>
      </w:r>
      <w:r w:rsidRPr="00CB1460">
        <w:rPr>
          <w:rFonts w:asciiTheme="minorHAnsi" w:eastAsia="Times New Roman" w:hAnsiTheme="minorHAnsi"/>
          <w:color w:val="000000"/>
        </w:rPr>
        <w:t xml:space="preserve"> </w:t>
      </w:r>
      <w:r w:rsidR="00A023AF">
        <w:rPr>
          <w:rFonts w:asciiTheme="minorHAnsi" w:eastAsia="Times New Roman" w:hAnsiTheme="minorHAnsi"/>
          <w:color w:val="000000"/>
        </w:rPr>
        <w:t xml:space="preserve">can, with </w:t>
      </w:r>
      <w:r w:rsidRPr="00CB1460">
        <w:rPr>
          <w:rFonts w:asciiTheme="minorHAnsi" w:eastAsia="Times New Roman" w:hAnsiTheme="minorHAnsi"/>
          <w:color w:val="000000"/>
        </w:rPr>
        <w:t>ma</w:t>
      </w:r>
      <w:r w:rsidR="00A023AF">
        <w:rPr>
          <w:rFonts w:asciiTheme="minorHAnsi" w:eastAsia="Times New Roman" w:hAnsiTheme="minorHAnsi"/>
          <w:color w:val="000000"/>
        </w:rPr>
        <w:t>nufactured bad news</w:t>
      </w:r>
      <w:r w:rsidR="00763431">
        <w:rPr>
          <w:rFonts w:asciiTheme="minorHAnsi" w:eastAsia="Times New Roman" w:hAnsiTheme="minorHAnsi"/>
          <w:color w:val="000000"/>
        </w:rPr>
        <w:t xml:space="preserve"> or simply exaggeration</w:t>
      </w:r>
      <w:r w:rsidR="00A023AF">
        <w:rPr>
          <w:rFonts w:asciiTheme="minorHAnsi" w:eastAsia="Times New Roman" w:hAnsiTheme="minorHAnsi"/>
          <w:color w:val="000000"/>
        </w:rPr>
        <w:t>,</w:t>
      </w:r>
      <w:r w:rsidRPr="00CB1460">
        <w:rPr>
          <w:rFonts w:asciiTheme="minorHAnsi" w:eastAsia="Times New Roman" w:hAnsiTheme="minorHAnsi"/>
          <w:color w:val="000000"/>
        </w:rPr>
        <w:t xml:space="preserve"> take down any bank in the country at any time. </w:t>
      </w:r>
      <w:r w:rsidR="00A023AF">
        <w:rPr>
          <w:rFonts w:asciiTheme="minorHAnsi" w:eastAsia="Times New Roman" w:hAnsiTheme="minorHAnsi"/>
          <w:color w:val="000000"/>
        </w:rPr>
        <w:t xml:space="preserve">Then they can </w:t>
      </w:r>
      <w:r w:rsidR="00E11249" w:rsidRPr="00CB1460">
        <w:rPr>
          <w:rFonts w:asciiTheme="minorHAnsi" w:eastAsia="Times New Roman" w:hAnsiTheme="minorHAnsi"/>
          <w:color w:val="000000"/>
        </w:rPr>
        <w:t xml:space="preserve">proceed </w:t>
      </w:r>
      <w:r w:rsidRPr="00CB1460">
        <w:rPr>
          <w:rFonts w:asciiTheme="minorHAnsi" w:eastAsia="Times New Roman" w:hAnsiTheme="minorHAnsi"/>
          <w:color w:val="000000"/>
        </w:rPr>
        <w:t>to their next victim.</w:t>
      </w:r>
      <w:r w:rsidRPr="00CB1460">
        <w:rPr>
          <w:rStyle w:val="FootnoteReference"/>
          <w:rFonts w:asciiTheme="minorHAnsi" w:eastAsia="Times New Roman" w:hAnsiTheme="minorHAnsi"/>
          <w:color w:val="000000"/>
        </w:rPr>
        <w:footnoteReference w:id="62"/>
      </w:r>
      <w:r w:rsidR="007D1298">
        <w:rPr>
          <w:rFonts w:asciiTheme="minorHAnsi" w:eastAsia="Times New Roman" w:hAnsiTheme="minorHAnsi"/>
          <w:color w:val="000000"/>
        </w:rPr>
        <w:t xml:space="preserve"> </w:t>
      </w:r>
      <w:r w:rsidR="002C5FC0">
        <w:rPr>
          <w:rFonts w:asciiTheme="minorHAnsi" w:eastAsia="Times New Roman" w:hAnsiTheme="minorHAnsi"/>
          <w:color w:val="000000"/>
        </w:rPr>
        <w:t>Naked short selling – sales of a company’s stock by entities that don’</w:t>
      </w:r>
      <w:r w:rsidR="00C70BB5">
        <w:rPr>
          <w:rFonts w:asciiTheme="minorHAnsi" w:eastAsia="Times New Roman" w:hAnsiTheme="minorHAnsi"/>
          <w:color w:val="000000"/>
        </w:rPr>
        <w:t>t</w:t>
      </w:r>
      <w:r w:rsidR="00E36AB6">
        <w:rPr>
          <w:rFonts w:asciiTheme="minorHAnsi" w:eastAsia="Times New Roman" w:hAnsiTheme="minorHAnsi"/>
          <w:color w:val="000000"/>
        </w:rPr>
        <w:t xml:space="preserve"> </w:t>
      </w:r>
      <w:r w:rsidR="002C5FC0">
        <w:rPr>
          <w:rFonts w:asciiTheme="minorHAnsi" w:eastAsia="Times New Roman" w:hAnsiTheme="minorHAnsi"/>
          <w:color w:val="000000"/>
        </w:rPr>
        <w:t xml:space="preserve">own the shares they are selling -- also played and can still play a role in “murdering” banks. </w:t>
      </w:r>
      <w:r w:rsidR="002C5FC0" w:rsidRPr="008B3BE5">
        <w:rPr>
          <w:rFonts w:asciiTheme="minorHAnsi" w:eastAsia="Times New Roman" w:hAnsiTheme="minorHAnsi"/>
          <w:i/>
          <w:color w:val="000000"/>
        </w:rPr>
        <w:t>Rolling Stone</w:t>
      </w:r>
      <w:r w:rsidR="002C5FC0">
        <w:rPr>
          <w:rFonts w:asciiTheme="minorHAnsi" w:eastAsia="Times New Roman" w:hAnsiTheme="minorHAnsi"/>
          <w:color w:val="000000"/>
        </w:rPr>
        <w:t xml:space="preserve"> described the short sales of Bear and Lehman as “Wall Street’s naked swindle.”</w:t>
      </w:r>
      <w:r w:rsidR="002C5FC0">
        <w:rPr>
          <w:rStyle w:val="FootnoteReference"/>
          <w:rFonts w:asciiTheme="minorHAnsi" w:eastAsia="Times New Roman" w:hAnsiTheme="minorHAnsi"/>
          <w:color w:val="000000"/>
        </w:rPr>
        <w:footnoteReference w:id="63"/>
      </w:r>
      <w:r w:rsidR="002C5FC0">
        <w:rPr>
          <w:rFonts w:asciiTheme="minorHAnsi" w:eastAsia="Times New Roman" w:hAnsiTheme="minorHAnsi"/>
          <w:color w:val="000000"/>
        </w:rPr>
        <w:t xml:space="preserve"> The headline in the 2010 article reads, “</w:t>
      </w:r>
      <w:r w:rsidR="002C5FC0" w:rsidRPr="007D6BB3">
        <w:rPr>
          <w:rFonts w:ascii="Calibri" w:eastAsia="Times New Roman" w:hAnsi="Calibri"/>
          <w:bCs/>
          <w:color w:val="000000"/>
          <w:spacing w:val="-6"/>
          <w:shd w:val="clear" w:color="auto" w:fill="FFFFFF"/>
        </w:rPr>
        <w:t>A scheme to flood the market with counterfeit stocks helped kill Bear Stearns and Lehman Brothers — and the feds have yet to bust the culprits</w:t>
      </w:r>
      <w:r w:rsidR="002C5FC0">
        <w:rPr>
          <w:rFonts w:ascii="Calibri" w:eastAsia="Times New Roman" w:hAnsi="Calibri"/>
          <w:bCs/>
          <w:color w:val="000000"/>
          <w:spacing w:val="-6"/>
          <w:shd w:val="clear" w:color="auto" w:fill="FFFFFF"/>
        </w:rPr>
        <w:t xml:space="preserve">.” </w:t>
      </w:r>
      <w:r w:rsidR="00EC5977">
        <w:rPr>
          <w:rFonts w:ascii="Calibri" w:eastAsia="Times New Roman" w:hAnsi="Calibri"/>
          <w:bCs/>
          <w:color w:val="000000"/>
          <w:spacing w:val="-6"/>
          <w:shd w:val="clear" w:color="auto" w:fill="FFFFFF"/>
        </w:rPr>
        <w:t xml:space="preserve">That’s equally true today. Indeed, </w:t>
      </w:r>
      <w:r w:rsidR="002C5FC0">
        <w:rPr>
          <w:rFonts w:ascii="Calibri" w:eastAsia="Times New Roman" w:hAnsi="Calibri"/>
          <w:bCs/>
          <w:color w:val="000000"/>
          <w:spacing w:val="-6"/>
          <w:shd w:val="clear" w:color="auto" w:fill="FFFFFF"/>
        </w:rPr>
        <w:t xml:space="preserve">the </w:t>
      </w:r>
      <w:r w:rsidR="004E1EE0">
        <w:rPr>
          <w:rFonts w:ascii="Calibri" w:eastAsia="Times New Roman" w:hAnsi="Calibri"/>
          <w:bCs/>
          <w:color w:val="000000"/>
          <w:spacing w:val="-6"/>
          <w:shd w:val="clear" w:color="auto" w:fill="FFFFFF"/>
        </w:rPr>
        <w:t xml:space="preserve">SEC hasn’t even </w:t>
      </w:r>
      <w:r w:rsidR="00EB618F">
        <w:rPr>
          <w:rFonts w:ascii="Calibri" w:eastAsia="Times New Roman" w:hAnsi="Calibri"/>
          <w:bCs/>
          <w:color w:val="000000"/>
          <w:spacing w:val="-6"/>
          <w:shd w:val="clear" w:color="auto" w:fill="FFFFFF"/>
        </w:rPr>
        <w:t xml:space="preserve">issued a </w:t>
      </w:r>
      <w:r w:rsidR="002C5FC0">
        <w:rPr>
          <w:rFonts w:ascii="Calibri" w:eastAsia="Times New Roman" w:hAnsi="Calibri"/>
          <w:bCs/>
          <w:color w:val="000000"/>
          <w:spacing w:val="-6"/>
          <w:shd w:val="clear" w:color="auto" w:fill="FFFFFF"/>
        </w:rPr>
        <w:t>report on its supposed investigation</w:t>
      </w:r>
      <w:r w:rsidR="00EC5977">
        <w:rPr>
          <w:rFonts w:ascii="Calibri" w:eastAsia="Times New Roman" w:hAnsi="Calibri"/>
          <w:bCs/>
          <w:color w:val="000000"/>
          <w:spacing w:val="-6"/>
          <w:shd w:val="clear" w:color="auto" w:fill="FFFFFF"/>
        </w:rPr>
        <w:t xml:space="preserve"> in the eight years since </w:t>
      </w:r>
      <w:r w:rsidR="00EC5977">
        <w:rPr>
          <w:rFonts w:ascii="Calibri" w:eastAsia="Times New Roman" w:hAnsi="Calibri"/>
          <w:bCs/>
          <w:i/>
          <w:color w:val="000000"/>
          <w:spacing w:val="-6"/>
          <w:shd w:val="clear" w:color="auto" w:fill="FFFFFF"/>
        </w:rPr>
        <w:t xml:space="preserve">Rolling Stone </w:t>
      </w:r>
      <w:r w:rsidR="00EC5977">
        <w:rPr>
          <w:rFonts w:ascii="Calibri" w:eastAsia="Times New Roman" w:hAnsi="Calibri"/>
          <w:bCs/>
          <w:color w:val="000000"/>
          <w:spacing w:val="-6"/>
          <w:shd w:val="clear" w:color="auto" w:fill="FFFFFF"/>
        </w:rPr>
        <w:t xml:space="preserve">carried its story. </w:t>
      </w:r>
    </w:p>
    <w:p w14:paraId="0903E085" w14:textId="77777777" w:rsidR="00FE3501" w:rsidRDefault="00FE3501" w:rsidP="002C5FC0">
      <w:pPr>
        <w:jc w:val="both"/>
        <w:rPr>
          <w:rFonts w:ascii="Calibri" w:eastAsia="Times New Roman" w:hAnsi="Calibri"/>
          <w:bCs/>
          <w:color w:val="000000"/>
          <w:spacing w:val="-6"/>
          <w:shd w:val="clear" w:color="auto" w:fill="FFFFFF"/>
        </w:rPr>
      </w:pPr>
    </w:p>
    <w:p w14:paraId="753D67DC" w14:textId="667A1265" w:rsidR="002C5FC0" w:rsidRDefault="00F71EE1" w:rsidP="002C5FC0">
      <w:pPr>
        <w:jc w:val="both"/>
        <w:rPr>
          <w:rFonts w:ascii="Calibri" w:eastAsia="Times New Roman" w:hAnsi="Calibri"/>
          <w:bCs/>
          <w:color w:val="000000"/>
          <w:spacing w:val="-6"/>
          <w:shd w:val="clear" w:color="auto" w:fill="FFFFFF"/>
        </w:rPr>
      </w:pPr>
      <w:r>
        <w:rPr>
          <w:rFonts w:ascii="Calibri" w:eastAsia="Times New Roman" w:hAnsi="Calibri"/>
          <w:bCs/>
          <w:color w:val="000000"/>
          <w:spacing w:val="-6"/>
          <w:shd w:val="clear" w:color="auto" w:fill="FFFFFF"/>
        </w:rPr>
        <w:t xml:space="preserve">The story merits </w:t>
      </w:r>
      <w:r w:rsidR="0071730C">
        <w:rPr>
          <w:rFonts w:ascii="Calibri" w:eastAsia="Times New Roman" w:hAnsi="Calibri"/>
          <w:bCs/>
          <w:color w:val="000000"/>
          <w:spacing w:val="-6"/>
          <w:shd w:val="clear" w:color="auto" w:fill="FFFFFF"/>
        </w:rPr>
        <w:t xml:space="preserve">a careful </w:t>
      </w:r>
      <w:r>
        <w:rPr>
          <w:rFonts w:ascii="Calibri" w:eastAsia="Times New Roman" w:hAnsi="Calibri"/>
          <w:bCs/>
          <w:color w:val="000000"/>
          <w:spacing w:val="-6"/>
          <w:shd w:val="clear" w:color="auto" w:fill="FFFFFF"/>
        </w:rPr>
        <w:t xml:space="preserve">read. </w:t>
      </w:r>
      <w:r w:rsidR="002C5FC0">
        <w:rPr>
          <w:rFonts w:ascii="Calibri" w:eastAsia="Times New Roman" w:hAnsi="Calibri"/>
          <w:bCs/>
          <w:color w:val="000000"/>
          <w:spacing w:val="-6"/>
          <w:shd w:val="clear" w:color="auto" w:fill="FFFFFF"/>
        </w:rPr>
        <w:t xml:space="preserve">As Bear and Lehman reached the end of their tethers, short sellers </w:t>
      </w:r>
      <w:r w:rsidR="00C70BB5">
        <w:rPr>
          <w:rFonts w:ascii="Calibri" w:eastAsia="Times New Roman" w:hAnsi="Calibri"/>
          <w:bCs/>
          <w:color w:val="000000"/>
          <w:spacing w:val="-6"/>
          <w:shd w:val="clear" w:color="auto" w:fill="FFFFFF"/>
        </w:rPr>
        <w:t>manufactured</w:t>
      </w:r>
      <w:r w:rsidR="00D10EFD">
        <w:rPr>
          <w:rFonts w:ascii="Calibri" w:eastAsia="Times New Roman" w:hAnsi="Calibri"/>
          <w:bCs/>
          <w:color w:val="000000"/>
          <w:spacing w:val="-6"/>
          <w:shd w:val="clear" w:color="auto" w:fill="FFFFFF"/>
        </w:rPr>
        <w:t xml:space="preserve"> tens of millions of shares of the two companies and dumped them on the market. </w:t>
      </w:r>
      <w:r w:rsidR="002C5FC0">
        <w:rPr>
          <w:rFonts w:ascii="Calibri" w:eastAsia="Times New Roman" w:hAnsi="Calibri"/>
          <w:bCs/>
          <w:color w:val="000000"/>
          <w:spacing w:val="-6"/>
          <w:shd w:val="clear" w:color="auto" w:fill="FFFFFF"/>
        </w:rPr>
        <w:t xml:space="preserve">The </w:t>
      </w:r>
      <w:r w:rsidR="002C5FC0">
        <w:rPr>
          <w:rFonts w:ascii="Calibri" w:eastAsia="Times New Roman" w:hAnsi="Calibri"/>
          <w:bCs/>
          <w:color w:val="000000"/>
          <w:spacing w:val="-6"/>
          <w:shd w:val="clear" w:color="auto" w:fill="FFFFFF"/>
        </w:rPr>
        <w:lastRenderedPageBreak/>
        <w:t>sale of counterfeit shares explains the term “</w:t>
      </w:r>
      <w:r w:rsidR="00C70BB5">
        <w:rPr>
          <w:rFonts w:ascii="Calibri" w:eastAsia="Times New Roman" w:hAnsi="Calibri"/>
          <w:bCs/>
          <w:color w:val="000000"/>
          <w:spacing w:val="-6"/>
          <w:shd w:val="clear" w:color="auto" w:fill="FFFFFF"/>
        </w:rPr>
        <w:t>naked</w:t>
      </w:r>
      <w:r w:rsidR="002C5FC0">
        <w:rPr>
          <w:rFonts w:ascii="Calibri" w:eastAsia="Times New Roman" w:hAnsi="Calibri"/>
          <w:bCs/>
          <w:color w:val="000000"/>
          <w:spacing w:val="-6"/>
          <w:shd w:val="clear" w:color="auto" w:fill="FFFFFF"/>
        </w:rPr>
        <w:t>” as in no backing.</w:t>
      </w:r>
      <w:r w:rsidR="002C5FC0">
        <w:rPr>
          <w:rStyle w:val="FootnoteReference"/>
          <w:rFonts w:ascii="Calibri" w:eastAsia="Times New Roman" w:hAnsi="Calibri"/>
          <w:bCs/>
          <w:color w:val="000000"/>
          <w:spacing w:val="-6"/>
          <w:shd w:val="clear" w:color="auto" w:fill="FFFFFF"/>
        </w:rPr>
        <w:footnoteReference w:id="64"/>
      </w:r>
      <w:r w:rsidR="002C5FC0">
        <w:rPr>
          <w:rFonts w:ascii="Calibri" w:eastAsia="Times New Roman" w:hAnsi="Calibri"/>
          <w:bCs/>
          <w:color w:val="000000"/>
          <w:spacing w:val="-6"/>
          <w:shd w:val="clear" w:color="auto" w:fill="FFFFFF"/>
        </w:rPr>
        <w:t xml:space="preserve"> Fatok, et. al. (2014) claim the bulk of the naked short sales occurred when the two companies were already on the ropes. But the SEC reached a different conclusion. Three days after Lehman failed, the SEC clamped down on </w:t>
      </w:r>
      <w:r w:rsidR="00A17C76">
        <w:rPr>
          <w:rFonts w:ascii="Calibri" w:eastAsia="Times New Roman" w:hAnsi="Calibri"/>
          <w:bCs/>
          <w:color w:val="000000"/>
          <w:spacing w:val="-6"/>
          <w:shd w:val="clear" w:color="auto" w:fill="FFFFFF"/>
        </w:rPr>
        <w:t xml:space="preserve">most </w:t>
      </w:r>
      <w:r w:rsidR="002C5FC0">
        <w:rPr>
          <w:rFonts w:ascii="Calibri" w:eastAsia="Times New Roman" w:hAnsi="Calibri"/>
          <w:bCs/>
          <w:color w:val="000000"/>
          <w:spacing w:val="-6"/>
          <w:shd w:val="clear" w:color="auto" w:fill="FFFFFF"/>
        </w:rPr>
        <w:t>naked short sales.</w:t>
      </w:r>
      <w:r w:rsidR="002C5FC0">
        <w:rPr>
          <w:rStyle w:val="FootnoteReference"/>
          <w:rFonts w:ascii="Calibri" w:eastAsia="Times New Roman" w:hAnsi="Calibri"/>
          <w:bCs/>
          <w:color w:val="000000"/>
          <w:spacing w:val="-6"/>
          <w:shd w:val="clear" w:color="auto" w:fill="FFFFFF"/>
        </w:rPr>
        <w:footnoteReference w:id="65"/>
      </w:r>
      <w:r w:rsidR="002C5FC0">
        <w:rPr>
          <w:rFonts w:ascii="Calibri" w:eastAsia="Times New Roman" w:hAnsi="Calibri"/>
          <w:bCs/>
          <w:color w:val="000000"/>
          <w:spacing w:val="-6"/>
          <w:shd w:val="clear" w:color="auto" w:fill="FFFFFF"/>
        </w:rPr>
        <w:t xml:space="preserve"> </w:t>
      </w:r>
    </w:p>
    <w:p w14:paraId="58BA5A76" w14:textId="77777777" w:rsidR="002C5FC0" w:rsidRDefault="002C5FC0" w:rsidP="002C5FC0">
      <w:pPr>
        <w:jc w:val="both"/>
        <w:rPr>
          <w:rFonts w:ascii="Calibri" w:eastAsia="Times New Roman" w:hAnsi="Calibri"/>
          <w:bCs/>
          <w:color w:val="000000"/>
          <w:spacing w:val="-6"/>
          <w:shd w:val="clear" w:color="auto" w:fill="FFFFFF"/>
        </w:rPr>
      </w:pPr>
    </w:p>
    <w:p w14:paraId="3877E71E" w14:textId="2E67BE18" w:rsidR="00255920" w:rsidRDefault="008B5764" w:rsidP="00255920">
      <w:pPr>
        <w:jc w:val="both"/>
        <w:rPr>
          <w:rFonts w:asciiTheme="minorHAnsi" w:eastAsia="Times New Roman" w:hAnsiTheme="minorHAnsi"/>
        </w:rPr>
      </w:pPr>
      <w:r>
        <w:rPr>
          <w:rFonts w:ascii="Calibri" w:eastAsia="Times New Roman" w:hAnsi="Calibri"/>
          <w:bCs/>
          <w:color w:val="000000"/>
          <w:spacing w:val="-6"/>
          <w:shd w:val="clear" w:color="auto" w:fill="FFFFFF"/>
        </w:rPr>
        <w:t>T</w:t>
      </w:r>
      <w:r w:rsidR="007219F8">
        <w:rPr>
          <w:rFonts w:ascii="Calibri" w:eastAsia="Times New Roman" w:hAnsi="Calibri"/>
          <w:bCs/>
          <w:color w:val="000000"/>
          <w:spacing w:val="-6"/>
          <w:shd w:val="clear" w:color="auto" w:fill="FFFFFF"/>
        </w:rPr>
        <w:t>o date, t</w:t>
      </w:r>
      <w:r>
        <w:rPr>
          <w:rFonts w:ascii="Calibri" w:eastAsia="Times New Roman" w:hAnsi="Calibri"/>
          <w:bCs/>
          <w:color w:val="000000"/>
          <w:spacing w:val="-6"/>
          <w:shd w:val="clear" w:color="auto" w:fill="FFFFFF"/>
        </w:rPr>
        <w:t>he SEC has</w:t>
      </w:r>
      <w:r w:rsidR="002C5FC0">
        <w:rPr>
          <w:rFonts w:ascii="Calibri" w:eastAsia="Times New Roman" w:hAnsi="Calibri"/>
          <w:bCs/>
          <w:color w:val="000000"/>
          <w:spacing w:val="-6"/>
          <w:shd w:val="clear" w:color="auto" w:fill="FFFFFF"/>
        </w:rPr>
        <w:t xml:space="preserve"> engaged in very few enfo</w:t>
      </w:r>
      <w:r w:rsidR="00205872">
        <w:rPr>
          <w:rFonts w:ascii="Calibri" w:eastAsia="Times New Roman" w:hAnsi="Calibri"/>
          <w:bCs/>
          <w:color w:val="000000"/>
          <w:spacing w:val="-6"/>
          <w:shd w:val="clear" w:color="auto" w:fill="FFFFFF"/>
        </w:rPr>
        <w:t xml:space="preserve">rcement actions against </w:t>
      </w:r>
      <w:r w:rsidR="002C5FC0">
        <w:rPr>
          <w:rFonts w:ascii="Calibri" w:eastAsia="Times New Roman" w:hAnsi="Calibri"/>
          <w:bCs/>
          <w:color w:val="000000"/>
          <w:spacing w:val="-6"/>
          <w:shd w:val="clear" w:color="auto" w:fill="FFFFFF"/>
        </w:rPr>
        <w:t xml:space="preserve">naked </w:t>
      </w:r>
      <w:r w:rsidR="00071AA4">
        <w:rPr>
          <w:rFonts w:ascii="Calibri" w:eastAsia="Times New Roman" w:hAnsi="Calibri"/>
          <w:bCs/>
          <w:color w:val="000000"/>
          <w:spacing w:val="-6"/>
          <w:shd w:val="clear" w:color="auto" w:fill="FFFFFF"/>
        </w:rPr>
        <w:t>short sellers</w:t>
      </w:r>
      <w:r w:rsidR="002C5FC0">
        <w:rPr>
          <w:rFonts w:ascii="Calibri" w:eastAsia="Times New Roman" w:hAnsi="Calibri"/>
          <w:bCs/>
          <w:color w:val="000000"/>
          <w:spacing w:val="-6"/>
          <w:shd w:val="clear" w:color="auto" w:fill="FFFFFF"/>
        </w:rPr>
        <w:t>. The same is true</w:t>
      </w:r>
      <w:r w:rsidR="00E4284C">
        <w:rPr>
          <w:rFonts w:ascii="Calibri" w:eastAsia="Times New Roman" w:hAnsi="Calibri"/>
          <w:bCs/>
          <w:color w:val="000000"/>
          <w:spacing w:val="-6"/>
          <w:shd w:val="clear" w:color="auto" w:fill="FFFFFF"/>
        </w:rPr>
        <w:t xml:space="preserve"> in</w:t>
      </w:r>
      <w:r w:rsidR="006D3793">
        <w:rPr>
          <w:rFonts w:ascii="Calibri" w:eastAsia="Times New Roman" w:hAnsi="Calibri"/>
          <w:bCs/>
          <w:color w:val="000000"/>
          <w:spacing w:val="-6"/>
          <w:shd w:val="clear" w:color="auto" w:fill="FFFFFF"/>
        </w:rPr>
        <w:t xml:space="preserve"> </w:t>
      </w:r>
      <w:r w:rsidR="006D3793">
        <w:rPr>
          <w:rFonts w:asciiTheme="minorHAnsi" w:eastAsia="Times New Roman" w:hAnsiTheme="minorHAnsi"/>
          <w:color w:val="000000"/>
        </w:rPr>
        <w:t xml:space="preserve">prosecuting short sellers who </w:t>
      </w:r>
      <w:r w:rsidR="00255920">
        <w:rPr>
          <w:rFonts w:asciiTheme="minorHAnsi" w:eastAsia="Times New Roman" w:hAnsiTheme="minorHAnsi"/>
          <w:color w:val="000000"/>
        </w:rPr>
        <w:t xml:space="preserve">transmit false </w:t>
      </w:r>
      <w:r w:rsidR="00255920">
        <w:rPr>
          <w:rFonts w:asciiTheme="minorHAnsi" w:eastAsia="Times New Roman" w:hAnsiTheme="minorHAnsi"/>
        </w:rPr>
        <w:t xml:space="preserve">rumors. </w:t>
      </w:r>
      <w:r w:rsidR="00255920" w:rsidRPr="00CB1460">
        <w:rPr>
          <w:rFonts w:asciiTheme="minorHAnsi" w:eastAsia="Times New Roman" w:hAnsiTheme="minorHAnsi"/>
        </w:rPr>
        <w:t>Paul Berliner</w:t>
      </w:r>
      <w:r w:rsidR="00EB69C0">
        <w:rPr>
          <w:rFonts w:asciiTheme="minorHAnsi" w:eastAsia="Times New Roman" w:hAnsiTheme="minorHAnsi"/>
        </w:rPr>
        <w:t xml:space="preserve"> is an exception</w:t>
      </w:r>
      <w:r w:rsidR="00255920" w:rsidRPr="00CB1460">
        <w:rPr>
          <w:rFonts w:asciiTheme="minorHAnsi" w:eastAsia="Times New Roman" w:hAnsiTheme="minorHAnsi"/>
        </w:rPr>
        <w:t xml:space="preserve">. </w:t>
      </w:r>
      <w:r w:rsidR="005100B3">
        <w:rPr>
          <w:rFonts w:asciiTheme="minorHAnsi" w:eastAsia="Times New Roman" w:hAnsiTheme="minorHAnsi"/>
        </w:rPr>
        <w:t>His case illustrate</w:t>
      </w:r>
      <w:r w:rsidR="009A42A5">
        <w:rPr>
          <w:rFonts w:asciiTheme="minorHAnsi" w:eastAsia="Times New Roman" w:hAnsiTheme="minorHAnsi"/>
        </w:rPr>
        <w:t xml:space="preserve">s the impact of a single rumor. In 2008, Berliner </w:t>
      </w:r>
      <w:r w:rsidR="00255920" w:rsidRPr="00CB1460">
        <w:rPr>
          <w:rFonts w:asciiTheme="minorHAnsi" w:eastAsia="Times New Roman" w:hAnsiTheme="minorHAnsi"/>
        </w:rPr>
        <w:t xml:space="preserve">spread </w:t>
      </w:r>
      <w:r w:rsidR="00071AA4">
        <w:rPr>
          <w:rFonts w:asciiTheme="minorHAnsi" w:eastAsia="Times New Roman" w:hAnsiTheme="minorHAnsi"/>
        </w:rPr>
        <w:t xml:space="preserve">a plausible, but </w:t>
      </w:r>
      <w:r w:rsidR="00E86D57">
        <w:rPr>
          <w:rFonts w:asciiTheme="minorHAnsi" w:eastAsia="Times New Roman" w:hAnsiTheme="minorHAnsi"/>
        </w:rPr>
        <w:t>false</w:t>
      </w:r>
      <w:r w:rsidR="009A42A5">
        <w:rPr>
          <w:rFonts w:asciiTheme="minorHAnsi" w:eastAsia="Times New Roman" w:hAnsiTheme="minorHAnsi"/>
        </w:rPr>
        <w:t xml:space="preserve"> story</w:t>
      </w:r>
      <w:r w:rsidR="00E86D57">
        <w:rPr>
          <w:rFonts w:asciiTheme="minorHAnsi" w:eastAsia="Times New Roman" w:hAnsiTheme="minorHAnsi"/>
        </w:rPr>
        <w:t xml:space="preserve"> that </w:t>
      </w:r>
      <w:r w:rsidR="00255920" w:rsidRPr="00CB1460">
        <w:rPr>
          <w:rFonts w:asciiTheme="minorHAnsi" w:eastAsia="Times New Roman" w:hAnsiTheme="minorHAnsi"/>
        </w:rPr>
        <w:t>Alliance Data Systems</w:t>
      </w:r>
      <w:r w:rsidR="00E86D57">
        <w:rPr>
          <w:rFonts w:asciiTheme="minorHAnsi" w:eastAsia="Times New Roman" w:hAnsiTheme="minorHAnsi"/>
        </w:rPr>
        <w:t>’ sale price was being renegotiated downward due to purported problems in the company’s consumer banking business</w:t>
      </w:r>
      <w:r w:rsidR="00107331">
        <w:rPr>
          <w:rFonts w:asciiTheme="minorHAnsi" w:eastAsia="Times New Roman" w:hAnsiTheme="minorHAnsi"/>
        </w:rPr>
        <w:t>. Berliner</w:t>
      </w:r>
      <w:r w:rsidR="00E86D57">
        <w:rPr>
          <w:rFonts w:asciiTheme="minorHAnsi" w:eastAsia="Times New Roman" w:hAnsiTheme="minorHAnsi"/>
        </w:rPr>
        <w:t xml:space="preserve"> </w:t>
      </w:r>
      <w:r w:rsidR="00107331">
        <w:rPr>
          <w:rFonts w:asciiTheme="minorHAnsi" w:eastAsia="Times New Roman" w:hAnsiTheme="minorHAnsi"/>
        </w:rPr>
        <w:t>dispensed this information</w:t>
      </w:r>
      <w:r w:rsidR="00E86D57">
        <w:rPr>
          <w:rFonts w:asciiTheme="minorHAnsi" w:eastAsia="Times New Roman" w:hAnsiTheme="minorHAnsi"/>
        </w:rPr>
        <w:t xml:space="preserve"> </w:t>
      </w:r>
      <w:r w:rsidR="00255920" w:rsidRPr="00CB1460">
        <w:rPr>
          <w:rFonts w:asciiTheme="minorHAnsi" w:eastAsia="Times New Roman" w:hAnsiTheme="minorHAnsi"/>
        </w:rPr>
        <w:t>while selling the company short.</w:t>
      </w:r>
      <w:r w:rsidR="00255920">
        <w:rPr>
          <w:rStyle w:val="FootnoteReference"/>
          <w:rFonts w:asciiTheme="minorHAnsi" w:eastAsia="Times New Roman" w:hAnsiTheme="minorHAnsi"/>
        </w:rPr>
        <w:footnoteReference w:id="66"/>
      </w:r>
      <w:r w:rsidR="00255920" w:rsidRPr="00CB1460">
        <w:rPr>
          <w:rFonts w:asciiTheme="minorHAnsi" w:eastAsia="Times New Roman" w:hAnsiTheme="minorHAnsi"/>
        </w:rPr>
        <w:t xml:space="preserve"> Within a half hour</w:t>
      </w:r>
      <w:r w:rsidR="00071AA4">
        <w:rPr>
          <w:rFonts w:asciiTheme="minorHAnsi" w:eastAsia="Times New Roman" w:hAnsiTheme="minorHAnsi"/>
        </w:rPr>
        <w:t xml:space="preserve"> of the rumor’s dissemination</w:t>
      </w:r>
      <w:r w:rsidR="00255920" w:rsidRPr="00CB1460">
        <w:rPr>
          <w:rFonts w:asciiTheme="minorHAnsi" w:eastAsia="Times New Roman" w:hAnsiTheme="minorHAnsi"/>
        </w:rPr>
        <w:t xml:space="preserve">, the price of Alliance </w:t>
      </w:r>
      <w:r w:rsidR="00071AA4">
        <w:rPr>
          <w:rFonts w:asciiTheme="minorHAnsi" w:eastAsia="Times New Roman" w:hAnsiTheme="minorHAnsi"/>
        </w:rPr>
        <w:t xml:space="preserve">dropped </w:t>
      </w:r>
      <w:r w:rsidR="00107331">
        <w:rPr>
          <w:rFonts w:asciiTheme="minorHAnsi" w:eastAsia="Times New Roman" w:hAnsiTheme="minorHAnsi"/>
        </w:rPr>
        <w:t>by 17 percent</w:t>
      </w:r>
      <w:r w:rsidR="00255920" w:rsidRPr="00CB1460">
        <w:rPr>
          <w:rFonts w:asciiTheme="minorHAnsi" w:eastAsia="Times New Roman" w:hAnsiTheme="minorHAnsi"/>
        </w:rPr>
        <w:t>, letting Berliner cash in</w:t>
      </w:r>
      <w:r w:rsidR="00FE3501">
        <w:rPr>
          <w:rFonts w:asciiTheme="minorHAnsi" w:eastAsia="Times New Roman" w:hAnsiTheme="minorHAnsi"/>
        </w:rPr>
        <w:t xml:space="preserve"> and </w:t>
      </w:r>
      <w:r w:rsidR="00483DAF">
        <w:rPr>
          <w:rFonts w:asciiTheme="minorHAnsi" w:eastAsia="Times New Roman" w:hAnsiTheme="minorHAnsi"/>
        </w:rPr>
        <w:t xml:space="preserve">cash </w:t>
      </w:r>
      <w:r w:rsidR="00FE3501">
        <w:rPr>
          <w:rFonts w:asciiTheme="minorHAnsi" w:eastAsia="Times New Roman" w:hAnsiTheme="minorHAnsi"/>
        </w:rPr>
        <w:t>out.</w:t>
      </w:r>
      <w:r w:rsidR="00255920" w:rsidRPr="00CB1460">
        <w:rPr>
          <w:rStyle w:val="FootnoteReference"/>
          <w:rFonts w:asciiTheme="minorHAnsi" w:eastAsia="Times New Roman" w:hAnsiTheme="minorHAnsi"/>
        </w:rPr>
        <w:footnoteReference w:id="67"/>
      </w:r>
      <w:r w:rsidR="00255920" w:rsidRPr="00CB1460">
        <w:rPr>
          <w:rFonts w:asciiTheme="minorHAnsi" w:eastAsia="Times New Roman" w:hAnsiTheme="minorHAnsi"/>
        </w:rPr>
        <w:t xml:space="preserve"> </w:t>
      </w:r>
    </w:p>
    <w:p w14:paraId="7428FD46" w14:textId="77777777" w:rsidR="000C1BC1" w:rsidRDefault="000C1BC1" w:rsidP="00255920">
      <w:pPr>
        <w:jc w:val="both"/>
        <w:rPr>
          <w:rFonts w:asciiTheme="minorHAnsi" w:eastAsia="Times New Roman" w:hAnsiTheme="minorHAnsi"/>
        </w:rPr>
      </w:pPr>
    </w:p>
    <w:p w14:paraId="63895698" w14:textId="3F01059F" w:rsidR="000C1BC1" w:rsidRDefault="000C1BC1" w:rsidP="00255920">
      <w:pPr>
        <w:jc w:val="both"/>
        <w:rPr>
          <w:rFonts w:asciiTheme="minorHAnsi" w:eastAsia="Times New Roman" w:hAnsiTheme="minorHAnsi"/>
        </w:rPr>
      </w:pPr>
      <w:r>
        <w:rPr>
          <w:rFonts w:asciiTheme="minorHAnsi" w:eastAsia="Times New Roman" w:hAnsiTheme="minorHAnsi"/>
        </w:rPr>
        <w:t>Misinformed or exaggerated statements can also do massive damage. Consider,</w:t>
      </w:r>
      <w:r w:rsidR="00110FFD">
        <w:rPr>
          <w:rFonts w:asciiTheme="minorHAnsi" w:eastAsia="Times New Roman" w:hAnsiTheme="minorHAnsi"/>
        </w:rPr>
        <w:t xml:space="preserve"> this extended quote from the </w:t>
      </w:r>
      <w:r w:rsidR="00997826">
        <w:rPr>
          <w:rFonts w:asciiTheme="minorHAnsi" w:eastAsia="Times New Roman" w:hAnsiTheme="minorHAnsi"/>
        </w:rPr>
        <w:t xml:space="preserve">very </w:t>
      </w:r>
      <w:r w:rsidR="00110FFD">
        <w:rPr>
          <w:rFonts w:asciiTheme="minorHAnsi" w:eastAsia="Times New Roman" w:hAnsiTheme="minorHAnsi"/>
        </w:rPr>
        <w:t>first page</w:t>
      </w:r>
      <w:r>
        <w:rPr>
          <w:rFonts w:asciiTheme="minorHAnsi" w:eastAsia="Times New Roman" w:hAnsiTheme="minorHAnsi"/>
        </w:rPr>
        <w:t xml:space="preserve"> of William Cohan’s </w:t>
      </w:r>
      <w:r>
        <w:rPr>
          <w:rFonts w:asciiTheme="minorHAnsi" w:eastAsia="Times New Roman" w:hAnsiTheme="minorHAnsi"/>
          <w:i/>
        </w:rPr>
        <w:t>House of Cards</w:t>
      </w:r>
      <w:r>
        <w:rPr>
          <w:rFonts w:asciiTheme="minorHAnsi" w:eastAsia="Times New Roman" w:hAnsiTheme="minorHAnsi"/>
        </w:rPr>
        <w:t>.</w:t>
      </w:r>
      <w:r w:rsidR="00110FFD">
        <w:rPr>
          <w:rStyle w:val="FootnoteReference"/>
          <w:rFonts w:asciiTheme="minorHAnsi" w:eastAsia="Times New Roman" w:hAnsiTheme="minorHAnsi"/>
        </w:rPr>
        <w:footnoteReference w:id="68"/>
      </w:r>
      <w:r>
        <w:rPr>
          <w:rFonts w:asciiTheme="minorHAnsi" w:eastAsia="Times New Roman" w:hAnsiTheme="minorHAnsi"/>
        </w:rPr>
        <w:t xml:space="preserve"> </w:t>
      </w:r>
    </w:p>
    <w:p w14:paraId="3C310342" w14:textId="77777777" w:rsidR="00997826" w:rsidRDefault="00997826" w:rsidP="00255920">
      <w:pPr>
        <w:jc w:val="both"/>
        <w:rPr>
          <w:rFonts w:asciiTheme="minorHAnsi" w:eastAsia="Times New Roman" w:hAnsiTheme="minorHAnsi"/>
        </w:rPr>
      </w:pPr>
    </w:p>
    <w:p w14:paraId="48968751" w14:textId="77777777" w:rsidR="0021095F" w:rsidRDefault="00997826" w:rsidP="00426066">
      <w:pPr>
        <w:ind w:left="288" w:right="288"/>
        <w:jc w:val="both"/>
        <w:rPr>
          <w:rFonts w:asciiTheme="minorHAnsi" w:eastAsia="Times New Roman" w:hAnsiTheme="minorHAnsi"/>
          <w:i/>
        </w:rPr>
      </w:pPr>
      <w:r w:rsidRPr="00997826">
        <w:rPr>
          <w:rFonts w:asciiTheme="minorHAnsi" w:eastAsia="Times New Roman" w:hAnsiTheme="minorHAnsi"/>
          <w:i/>
        </w:rPr>
        <w:t>The first murmurings of impending doom for the financial world originated 2,500 miles from Wall Street in an unassuming office suite just north of Orlando, Florida. There, hard by the train tracks, Bennet Sedacca announced to the world at 10:15 on the morning of March 5, 2008, that venerable Bear Stearns &amp; Co., the nation's fifth-largest investment bank, was in trouble, big trouble. “Yep,” Sedacca wrote on the Minyanville Web site, which is dedicated to helping investors c</w:t>
      </w:r>
      <w:r w:rsidR="00426066">
        <w:rPr>
          <w:rFonts w:asciiTheme="minorHAnsi" w:eastAsia="Times New Roman" w:hAnsiTheme="minorHAnsi"/>
          <w:i/>
        </w:rPr>
        <w:t xml:space="preserve">omprehend the financial world. </w:t>
      </w:r>
      <w:r w:rsidRPr="00997826">
        <w:rPr>
          <w:rFonts w:asciiTheme="minorHAnsi" w:eastAsia="Times New Roman" w:hAnsiTheme="minorHAnsi"/>
          <w:i/>
        </w:rPr>
        <w:t>The great credit unwind is upon us. Credit default swaps on all brokers, particularly Lehman and Bear Stea</w:t>
      </w:r>
      <w:r>
        <w:rPr>
          <w:rFonts w:asciiTheme="minorHAnsi" w:eastAsia="Times New Roman" w:hAnsiTheme="minorHAnsi"/>
          <w:i/>
        </w:rPr>
        <w:t>rns, are blowing out, big time.</w:t>
      </w:r>
      <w:r w:rsidR="00426066">
        <w:rPr>
          <w:rFonts w:asciiTheme="minorHAnsi" w:eastAsia="Times New Roman" w:hAnsiTheme="minorHAnsi"/>
          <w:i/>
        </w:rPr>
        <w:t xml:space="preserve"> </w:t>
      </w:r>
      <w:r w:rsidR="00426066" w:rsidRPr="00426066">
        <w:rPr>
          <w:rFonts w:asciiTheme="minorHAnsi" w:eastAsia="Times New Roman" w:hAnsiTheme="minorHAnsi"/>
          <w:i/>
        </w:rPr>
        <w:t>Sedacca, the forty-eight-year-old president</w:t>
      </w:r>
      <w:r w:rsidR="00426066">
        <w:rPr>
          <w:rFonts w:asciiTheme="minorHAnsi" w:eastAsia="Times New Roman" w:hAnsiTheme="minorHAnsi"/>
          <w:i/>
        </w:rPr>
        <w:t xml:space="preserve"> of </w:t>
      </w:r>
      <w:r w:rsidR="00426066" w:rsidRPr="00426066">
        <w:rPr>
          <w:rFonts w:asciiTheme="minorHAnsi" w:eastAsia="Times New Roman" w:hAnsiTheme="minorHAnsi"/>
          <w:i/>
        </w:rPr>
        <w:t>a $3.5 billion investment management company and hedge fund, had been watching his Bloomberg screens on a daily basis as the cost of insuring the short-term obligations—known in Wall Street argot as “credit default swaps”—of both Lehman and Bear Stearns had increased steadily since the summer of 2007 and then more rapidly in February 2008. Now he was calling the end of the credit party that had been raging on Wall Street for six years. “I've been talking about it for years,” Sedacca said later. “But I started to notice it that fall. Because if you think about it, if you have all this nuclear waste on your balance sheet, what are you supposed to do? You're supposed to cut your dividends, you're supposed to raise equity, and you're supposed to shrink your balance sheet. And they did just the opposite. They took on more leverage. Lehman went from twenty-five to thirty-five times leveraged in one year.</w:t>
      </w:r>
      <w:r w:rsidR="0021095F">
        <w:rPr>
          <w:rFonts w:asciiTheme="minorHAnsi" w:eastAsia="Times New Roman" w:hAnsiTheme="minorHAnsi"/>
          <w:i/>
        </w:rPr>
        <w:t xml:space="preserve"> ...”</w:t>
      </w:r>
    </w:p>
    <w:p w14:paraId="031AD8CA" w14:textId="77777777" w:rsidR="0021095F" w:rsidRDefault="0021095F" w:rsidP="0021095F">
      <w:pPr>
        <w:ind w:right="288"/>
        <w:jc w:val="both"/>
        <w:rPr>
          <w:rFonts w:asciiTheme="minorHAnsi" w:eastAsia="Times New Roman" w:hAnsiTheme="minorHAnsi"/>
          <w:i/>
        </w:rPr>
      </w:pPr>
    </w:p>
    <w:p w14:paraId="3F03BFE6" w14:textId="70289D6A" w:rsidR="00F37AE8" w:rsidRPr="00F37AE8" w:rsidRDefault="0021095F" w:rsidP="00F37AE8">
      <w:pPr>
        <w:jc w:val="both"/>
        <w:rPr>
          <w:rFonts w:ascii="Calibri" w:eastAsia="Times New Roman" w:hAnsi="Calibri"/>
        </w:rPr>
      </w:pPr>
      <w:r>
        <w:rPr>
          <w:rFonts w:asciiTheme="minorHAnsi" w:eastAsia="Times New Roman" w:hAnsiTheme="minorHAnsi"/>
        </w:rPr>
        <w:t>Cohan takes Sedacca’s statement</w:t>
      </w:r>
      <w:r w:rsidR="00545F39">
        <w:rPr>
          <w:rFonts w:asciiTheme="minorHAnsi" w:eastAsia="Times New Roman" w:hAnsiTheme="minorHAnsi"/>
        </w:rPr>
        <w:t>, which is a captivating introduction to his book,</w:t>
      </w:r>
      <w:r>
        <w:rPr>
          <w:rFonts w:asciiTheme="minorHAnsi" w:eastAsia="Times New Roman" w:hAnsiTheme="minorHAnsi"/>
        </w:rPr>
        <w:t xml:space="preserve"> as unquestionably true. But what he doesn’t tell his readers is whether Sedacca had shorted Lehman </w:t>
      </w:r>
      <w:r>
        <w:rPr>
          <w:rFonts w:asciiTheme="minorHAnsi" w:eastAsia="Times New Roman" w:hAnsiTheme="minorHAnsi"/>
        </w:rPr>
        <w:lastRenderedPageBreak/>
        <w:t xml:space="preserve">CDS or other Lehman securities. Nor does he ask whether the use of the term “nuclear waste” to describe Lehman’s assets had </w:t>
      </w:r>
      <w:r w:rsidR="00545F39">
        <w:rPr>
          <w:rFonts w:asciiTheme="minorHAnsi" w:eastAsia="Times New Roman" w:hAnsiTheme="minorHAnsi"/>
        </w:rPr>
        <w:t xml:space="preserve">any factual basis or was just Sedacca </w:t>
      </w:r>
      <w:r w:rsidR="00BA2EA9">
        <w:rPr>
          <w:rFonts w:asciiTheme="minorHAnsi" w:eastAsia="Times New Roman" w:hAnsiTheme="minorHAnsi"/>
        </w:rPr>
        <w:t>justifying a successful past</w:t>
      </w:r>
      <w:r w:rsidR="00545F39">
        <w:rPr>
          <w:rFonts w:asciiTheme="minorHAnsi" w:eastAsia="Times New Roman" w:hAnsiTheme="minorHAnsi"/>
        </w:rPr>
        <w:t xml:space="preserve"> </w:t>
      </w:r>
      <w:r>
        <w:rPr>
          <w:rFonts w:asciiTheme="minorHAnsi" w:eastAsia="Times New Roman" w:hAnsiTheme="minorHAnsi"/>
        </w:rPr>
        <w:t xml:space="preserve">short position. Finally, Cohan doesn’t check is Sedacca’s got his numbers right. </w:t>
      </w:r>
      <w:r w:rsidR="00470BB0">
        <w:rPr>
          <w:rFonts w:asciiTheme="minorHAnsi" w:eastAsia="Times New Roman" w:hAnsiTheme="minorHAnsi"/>
        </w:rPr>
        <w:t xml:space="preserve">According to its April 7, 2008 paper on leverage – whose release the SEC, which was monitoring Lehman on a daily basis, surely approved, </w:t>
      </w:r>
      <w:r w:rsidR="007C59CB">
        <w:rPr>
          <w:rFonts w:asciiTheme="minorHAnsi" w:eastAsia="Times New Roman" w:hAnsiTheme="minorHAnsi"/>
        </w:rPr>
        <w:t xml:space="preserve">was 29, not 35 times in 2007, on a gross basis, and 16 on a net basis. Cohan </w:t>
      </w:r>
      <w:r w:rsidR="00F37AE8">
        <w:rPr>
          <w:rFonts w:asciiTheme="minorHAnsi" w:eastAsia="Times New Roman" w:hAnsiTheme="minorHAnsi"/>
        </w:rPr>
        <w:t xml:space="preserve">also fails to </w:t>
      </w:r>
      <w:r w:rsidR="007C59CB">
        <w:rPr>
          <w:rFonts w:asciiTheme="minorHAnsi" w:eastAsia="Times New Roman" w:hAnsiTheme="minorHAnsi"/>
        </w:rPr>
        <w:t xml:space="preserve">question Sedacca’s statement that Lehman “took on more leverage.” </w:t>
      </w:r>
      <w:r w:rsidR="00A21377">
        <w:rPr>
          <w:rFonts w:asciiTheme="minorHAnsi" w:eastAsia="Times New Roman" w:hAnsiTheme="minorHAnsi"/>
        </w:rPr>
        <w:t xml:space="preserve">But, as described, leverage ratios are endogenous. They can instantly rise with no actions taken by the bank. Cohan didn’t ask Sedacca what he meant precisely by “took on more </w:t>
      </w:r>
      <w:r w:rsidR="00A21377" w:rsidRPr="00F37AE8">
        <w:rPr>
          <w:rFonts w:asciiTheme="minorHAnsi" w:eastAsia="Times New Roman" w:hAnsiTheme="minorHAnsi"/>
        </w:rPr>
        <w:t xml:space="preserve">leverage.” </w:t>
      </w:r>
      <w:r w:rsidR="00BA2EA9">
        <w:rPr>
          <w:rFonts w:asciiTheme="minorHAnsi" w:eastAsia="Times New Roman" w:hAnsiTheme="minorHAnsi"/>
        </w:rPr>
        <w:t>Nor did Cohan</w:t>
      </w:r>
      <w:r w:rsidR="00F37AE8" w:rsidRPr="00F37AE8">
        <w:rPr>
          <w:rFonts w:asciiTheme="minorHAnsi" w:eastAsia="Times New Roman" w:hAnsiTheme="minorHAnsi"/>
        </w:rPr>
        <w:t xml:space="preserve"> cite</w:t>
      </w:r>
      <w:r w:rsidR="00F37AE8">
        <w:rPr>
          <w:rFonts w:asciiTheme="minorHAnsi" w:eastAsia="Times New Roman" w:hAnsiTheme="minorHAnsi"/>
        </w:rPr>
        <w:t xml:space="preserve"> (because the book was written too soon)</w:t>
      </w:r>
      <w:r w:rsidR="00F37AE8" w:rsidRPr="00F37AE8">
        <w:rPr>
          <w:rFonts w:asciiTheme="minorHAnsi" w:eastAsia="Times New Roman" w:hAnsiTheme="minorHAnsi"/>
        </w:rPr>
        <w:t xml:space="preserve"> the April </w:t>
      </w:r>
      <w:r w:rsidR="00F37AE8">
        <w:rPr>
          <w:rFonts w:asciiTheme="minorHAnsi" w:eastAsia="Times New Roman" w:hAnsiTheme="minorHAnsi"/>
        </w:rPr>
        <w:t xml:space="preserve">10, </w:t>
      </w:r>
      <w:r w:rsidR="00F37AE8" w:rsidRPr="00F37AE8">
        <w:rPr>
          <w:rFonts w:asciiTheme="minorHAnsi" w:eastAsia="Times New Roman" w:hAnsiTheme="minorHAnsi"/>
        </w:rPr>
        <w:t xml:space="preserve">2010 testimony of SEC Chair Mary Shapiro </w:t>
      </w:r>
      <w:r w:rsidR="00F37AE8" w:rsidRPr="00F37AE8">
        <w:rPr>
          <w:rFonts w:ascii="Calibri" w:eastAsia="Times New Roman" w:hAnsi="Calibri"/>
        </w:rPr>
        <w:t>that “</w:t>
      </w:r>
      <w:r w:rsidR="00F37AE8" w:rsidRPr="00F37AE8">
        <w:rPr>
          <w:rFonts w:ascii="Calibri" w:eastAsia="Times New Roman" w:hAnsi="Calibri"/>
          <w:color w:val="454545"/>
          <w:shd w:val="clear" w:color="auto" w:fill="FFFFFF"/>
        </w:rPr>
        <w:t xml:space="preserve">Throughout the summer </w:t>
      </w:r>
      <w:r w:rsidR="00F37AE8">
        <w:rPr>
          <w:rFonts w:ascii="Calibri" w:eastAsia="Times New Roman" w:hAnsi="Calibri"/>
          <w:color w:val="454545"/>
          <w:shd w:val="clear" w:color="auto" w:fill="FFFFFF"/>
        </w:rPr>
        <w:t>(</w:t>
      </w:r>
      <w:r w:rsidR="00F37AE8" w:rsidRPr="00F37AE8">
        <w:rPr>
          <w:rFonts w:ascii="Calibri" w:eastAsia="Times New Roman" w:hAnsi="Calibri"/>
          <w:color w:val="454545"/>
          <w:shd w:val="clear" w:color="auto" w:fill="FFFFFF"/>
        </w:rPr>
        <w:t>of 2008</w:t>
      </w:r>
      <w:r w:rsidR="00F37AE8">
        <w:rPr>
          <w:rFonts w:ascii="Calibri" w:eastAsia="Times New Roman" w:hAnsi="Calibri"/>
          <w:color w:val="454545"/>
          <w:shd w:val="clear" w:color="auto" w:fill="FFFFFF"/>
        </w:rPr>
        <w:t>)</w:t>
      </w:r>
      <w:r w:rsidR="00F37AE8" w:rsidRPr="00F37AE8">
        <w:rPr>
          <w:rFonts w:ascii="Calibri" w:eastAsia="Times New Roman" w:hAnsi="Calibri"/>
          <w:color w:val="454545"/>
          <w:shd w:val="clear" w:color="auto" w:fill="FFFFFF"/>
        </w:rPr>
        <w:t>, Lehman embarked on various strategies to raise capital and to reduce the size of its exposure to mortgage-related and other illiquid assets.”</w:t>
      </w:r>
      <w:r w:rsidR="005840EA">
        <w:rPr>
          <w:rStyle w:val="FootnoteReference"/>
          <w:rFonts w:ascii="Calibri" w:eastAsia="Times New Roman" w:hAnsi="Calibri"/>
          <w:color w:val="454545"/>
          <w:shd w:val="clear" w:color="auto" w:fill="FFFFFF"/>
        </w:rPr>
        <w:footnoteReference w:id="69"/>
      </w:r>
      <w:r w:rsidR="00F37AE8">
        <w:rPr>
          <w:rFonts w:ascii="Calibri" w:eastAsia="Times New Roman" w:hAnsi="Calibri"/>
          <w:color w:val="454545"/>
          <w:shd w:val="clear" w:color="auto" w:fill="FFFFFF"/>
        </w:rPr>
        <w:t xml:space="preserve"> I.e., it didn’t, as Sedacca asserted, take on more leverage. </w:t>
      </w:r>
    </w:p>
    <w:p w14:paraId="3EE866B0" w14:textId="13FCEDD1" w:rsidR="00426066" w:rsidRPr="00F37AE8" w:rsidRDefault="00426066" w:rsidP="00F37AE8">
      <w:pPr>
        <w:ind w:right="288"/>
        <w:jc w:val="both"/>
        <w:rPr>
          <w:rFonts w:ascii="Calibri" w:eastAsia="Times New Roman" w:hAnsi="Calibri"/>
          <w:i/>
        </w:rPr>
      </w:pPr>
    </w:p>
    <w:p w14:paraId="74B84766" w14:textId="77777777" w:rsidR="00426066" w:rsidRPr="00426066" w:rsidRDefault="00426066" w:rsidP="00426066">
      <w:pPr>
        <w:ind w:left="288" w:right="288"/>
        <w:jc w:val="both"/>
        <w:rPr>
          <w:rFonts w:asciiTheme="minorHAnsi" w:eastAsia="Times New Roman" w:hAnsiTheme="minorHAnsi"/>
          <w:i/>
        </w:rPr>
      </w:pPr>
    </w:p>
    <w:p w14:paraId="28FB6353" w14:textId="77777777" w:rsidR="00EB69C0" w:rsidRDefault="00EB69C0" w:rsidP="00255920">
      <w:pPr>
        <w:jc w:val="both"/>
        <w:rPr>
          <w:rFonts w:asciiTheme="minorHAnsi" w:eastAsia="Times New Roman" w:hAnsiTheme="minorHAnsi"/>
          <w:color w:val="000000"/>
        </w:rPr>
      </w:pPr>
    </w:p>
    <w:p w14:paraId="33B5CD59" w14:textId="70C94021" w:rsidR="00766438" w:rsidRPr="00071AA4" w:rsidRDefault="00BB7DB5" w:rsidP="0084109B">
      <w:pPr>
        <w:jc w:val="both"/>
        <w:rPr>
          <w:rFonts w:ascii="Calibri" w:eastAsia="Times New Roman" w:hAnsi="Calibri"/>
          <w:b/>
          <w:bCs/>
          <w:color w:val="000000"/>
          <w:spacing w:val="-6"/>
          <w:shd w:val="clear" w:color="auto" w:fill="FFFFFF"/>
        </w:rPr>
      </w:pPr>
      <w:r>
        <w:rPr>
          <w:rFonts w:ascii="Calibri" w:eastAsia="Times New Roman" w:hAnsi="Calibri"/>
          <w:b/>
          <w:bCs/>
          <w:color w:val="000000"/>
          <w:spacing w:val="-6"/>
          <w:shd w:val="clear" w:color="auto" w:fill="FFFFFF"/>
        </w:rPr>
        <w:t xml:space="preserve">The Spread of </w:t>
      </w:r>
      <w:r w:rsidR="00071AA4">
        <w:rPr>
          <w:rFonts w:ascii="Calibri" w:eastAsia="Times New Roman" w:hAnsi="Calibri"/>
          <w:b/>
          <w:bCs/>
          <w:color w:val="000000"/>
          <w:spacing w:val="-6"/>
          <w:shd w:val="clear" w:color="auto" w:fill="FFFFFF"/>
        </w:rPr>
        <w:t xml:space="preserve">Fear </w:t>
      </w:r>
      <w:r w:rsidR="007360DB">
        <w:rPr>
          <w:rFonts w:ascii="Calibri" w:eastAsia="Times New Roman" w:hAnsi="Calibri"/>
          <w:b/>
          <w:bCs/>
          <w:color w:val="000000"/>
          <w:spacing w:val="-6"/>
          <w:shd w:val="clear" w:color="auto" w:fill="FFFFFF"/>
        </w:rPr>
        <w:t>to the Public and Real Economy</w:t>
      </w:r>
    </w:p>
    <w:p w14:paraId="782C96E9" w14:textId="2F25F524" w:rsidR="00FB14C0" w:rsidRDefault="007360DB" w:rsidP="00FB14C0">
      <w:pPr>
        <w:jc w:val="both"/>
        <w:rPr>
          <w:rFonts w:asciiTheme="minorHAnsi" w:eastAsia="Times New Roman" w:hAnsiTheme="minorHAnsi"/>
          <w:color w:val="000000"/>
        </w:rPr>
      </w:pPr>
      <w:r>
        <w:rPr>
          <w:rFonts w:asciiTheme="minorHAnsi" w:eastAsia="Times New Roman" w:hAnsiTheme="minorHAnsi"/>
        </w:rPr>
        <w:t>Models of multiple equilibri</w:t>
      </w:r>
      <w:r w:rsidR="001050B1">
        <w:rPr>
          <w:rFonts w:asciiTheme="minorHAnsi" w:eastAsia="Times New Roman" w:hAnsiTheme="minorHAnsi"/>
        </w:rPr>
        <w:t>um, whether new or old</w:t>
      </w:r>
      <w:r>
        <w:rPr>
          <w:rFonts w:asciiTheme="minorHAnsi" w:eastAsia="Times New Roman" w:hAnsiTheme="minorHAnsi"/>
        </w:rPr>
        <w:t>, implicitly feature the spread of fear. The press</w:t>
      </w:r>
      <w:r w:rsidR="00FB14C0">
        <w:rPr>
          <w:rFonts w:asciiTheme="minorHAnsi" w:eastAsia="Times New Roman" w:hAnsiTheme="minorHAnsi"/>
        </w:rPr>
        <w:t xml:space="preserve"> is a vector in this process. </w:t>
      </w:r>
      <w:r>
        <w:rPr>
          <w:rFonts w:asciiTheme="minorHAnsi" w:eastAsia="Times New Roman" w:hAnsiTheme="minorHAnsi"/>
        </w:rPr>
        <w:t xml:space="preserve">Consider, for example, the </w:t>
      </w:r>
      <w:r w:rsidR="00FB14C0">
        <w:rPr>
          <w:rFonts w:asciiTheme="minorHAnsi" w:eastAsia="Times New Roman" w:hAnsiTheme="minorHAnsi"/>
        </w:rPr>
        <w:t>press’</w:t>
      </w:r>
      <w:r w:rsidR="00E34839">
        <w:rPr>
          <w:rFonts w:asciiTheme="minorHAnsi" w:eastAsia="Times New Roman" w:hAnsiTheme="minorHAnsi"/>
        </w:rPr>
        <w:t xml:space="preserve"> references to </w:t>
      </w:r>
      <w:r w:rsidR="00FB14C0">
        <w:rPr>
          <w:rFonts w:asciiTheme="minorHAnsi" w:eastAsia="Times New Roman" w:hAnsiTheme="minorHAnsi"/>
        </w:rPr>
        <w:t>recession</w:t>
      </w:r>
      <w:r w:rsidR="00FB14C0">
        <w:rPr>
          <w:rFonts w:asciiTheme="minorHAnsi" w:eastAsia="Times New Roman" w:hAnsiTheme="minorHAnsi"/>
          <w:color w:val="000000"/>
        </w:rPr>
        <w:t>. T</w:t>
      </w:r>
      <w:r w:rsidR="0009093F">
        <w:rPr>
          <w:rFonts w:asciiTheme="minorHAnsi" w:eastAsia="Times New Roman" w:hAnsiTheme="minorHAnsi"/>
          <w:color w:val="000000"/>
        </w:rPr>
        <w:t>he Economist magazine views</w:t>
      </w:r>
      <w:r w:rsidR="00FB14C0">
        <w:rPr>
          <w:rFonts w:asciiTheme="minorHAnsi" w:eastAsia="Times New Roman" w:hAnsiTheme="minorHAnsi"/>
          <w:color w:val="000000"/>
        </w:rPr>
        <w:t xml:space="preserve"> </w:t>
      </w:r>
      <w:r w:rsidR="00CA4283">
        <w:rPr>
          <w:rFonts w:asciiTheme="minorHAnsi" w:eastAsia="Times New Roman" w:hAnsiTheme="minorHAnsi"/>
          <w:color w:val="000000"/>
        </w:rPr>
        <w:t>its</w:t>
      </w:r>
      <w:r w:rsidR="00811772">
        <w:rPr>
          <w:rFonts w:asciiTheme="minorHAnsi" w:eastAsia="Times New Roman" w:hAnsiTheme="minorHAnsi"/>
          <w:color w:val="000000"/>
        </w:rPr>
        <w:t xml:space="preserve"> own and other media’s</w:t>
      </w:r>
      <w:r w:rsidR="00CA4283">
        <w:rPr>
          <w:rFonts w:asciiTheme="minorHAnsi" w:eastAsia="Times New Roman" w:hAnsiTheme="minorHAnsi"/>
          <w:color w:val="000000"/>
        </w:rPr>
        <w:t xml:space="preserve"> </w:t>
      </w:r>
      <w:r w:rsidR="00FB14C0">
        <w:rPr>
          <w:rFonts w:asciiTheme="minorHAnsi" w:eastAsia="Times New Roman" w:hAnsiTheme="minorHAnsi"/>
          <w:color w:val="000000"/>
        </w:rPr>
        <w:t xml:space="preserve">use </w:t>
      </w:r>
      <w:r w:rsidR="0033537E">
        <w:rPr>
          <w:rFonts w:asciiTheme="minorHAnsi" w:eastAsia="Times New Roman" w:hAnsiTheme="minorHAnsi"/>
          <w:color w:val="000000"/>
        </w:rPr>
        <w:t>of the “R</w:t>
      </w:r>
      <w:r w:rsidR="0009093F">
        <w:rPr>
          <w:rFonts w:asciiTheme="minorHAnsi" w:eastAsia="Times New Roman" w:hAnsiTheme="minorHAnsi"/>
          <w:color w:val="000000"/>
        </w:rPr>
        <w:t xml:space="preserve"> word</w:t>
      </w:r>
      <w:r w:rsidR="0033537E">
        <w:rPr>
          <w:rFonts w:asciiTheme="minorHAnsi" w:eastAsia="Times New Roman" w:hAnsiTheme="minorHAnsi"/>
          <w:color w:val="000000"/>
        </w:rPr>
        <w:t>”</w:t>
      </w:r>
      <w:r w:rsidR="0009093F">
        <w:rPr>
          <w:rFonts w:asciiTheme="minorHAnsi" w:eastAsia="Times New Roman" w:hAnsiTheme="minorHAnsi"/>
          <w:color w:val="000000"/>
        </w:rPr>
        <w:t xml:space="preserve"> </w:t>
      </w:r>
      <w:r w:rsidR="004A7AEF">
        <w:rPr>
          <w:rFonts w:asciiTheme="minorHAnsi" w:eastAsia="Times New Roman" w:hAnsiTheme="minorHAnsi"/>
          <w:color w:val="000000"/>
        </w:rPr>
        <w:t xml:space="preserve">as economically so </w:t>
      </w:r>
      <w:r w:rsidR="00520D9C">
        <w:rPr>
          <w:rFonts w:asciiTheme="minorHAnsi" w:eastAsia="Times New Roman" w:hAnsiTheme="minorHAnsi"/>
          <w:color w:val="000000"/>
        </w:rPr>
        <w:t xml:space="preserve">frightening and viral </w:t>
      </w:r>
      <w:r w:rsidR="00DD0865">
        <w:rPr>
          <w:rFonts w:asciiTheme="minorHAnsi" w:eastAsia="Times New Roman" w:hAnsiTheme="minorHAnsi"/>
          <w:color w:val="000000"/>
        </w:rPr>
        <w:t>that</w:t>
      </w:r>
      <w:r w:rsidR="0033537E">
        <w:rPr>
          <w:rFonts w:asciiTheme="minorHAnsi" w:eastAsia="Times New Roman" w:hAnsiTheme="minorHAnsi"/>
          <w:color w:val="000000"/>
        </w:rPr>
        <w:t xml:space="preserve"> it</w:t>
      </w:r>
      <w:r w:rsidR="00DD0865">
        <w:rPr>
          <w:rFonts w:asciiTheme="minorHAnsi" w:eastAsia="Times New Roman" w:hAnsiTheme="minorHAnsi"/>
          <w:color w:val="000000"/>
        </w:rPr>
        <w:t>’s turned the word</w:t>
      </w:r>
      <w:r w:rsidR="00811772">
        <w:rPr>
          <w:rFonts w:asciiTheme="minorHAnsi" w:eastAsia="Times New Roman" w:hAnsiTheme="minorHAnsi"/>
          <w:color w:val="000000"/>
        </w:rPr>
        <w:t>’</w:t>
      </w:r>
      <w:r w:rsidR="00DD0865">
        <w:rPr>
          <w:rFonts w:asciiTheme="minorHAnsi" w:eastAsia="Times New Roman" w:hAnsiTheme="minorHAnsi"/>
          <w:color w:val="000000"/>
        </w:rPr>
        <w:t xml:space="preserve">s usage </w:t>
      </w:r>
      <w:r w:rsidR="0033537E">
        <w:rPr>
          <w:rFonts w:asciiTheme="minorHAnsi" w:eastAsia="Times New Roman" w:hAnsiTheme="minorHAnsi"/>
          <w:color w:val="000000"/>
        </w:rPr>
        <w:t>into a</w:t>
      </w:r>
      <w:r w:rsidR="00FB14C0">
        <w:rPr>
          <w:rFonts w:asciiTheme="minorHAnsi" w:eastAsia="Times New Roman" w:hAnsiTheme="minorHAnsi"/>
          <w:color w:val="000000"/>
        </w:rPr>
        <w:t xml:space="preserve"> leading economic </w:t>
      </w:r>
      <w:r w:rsidR="008F2D2B">
        <w:rPr>
          <w:rFonts w:asciiTheme="minorHAnsi" w:eastAsia="Times New Roman" w:hAnsiTheme="minorHAnsi"/>
          <w:color w:val="000000"/>
        </w:rPr>
        <w:t>indicator</w:t>
      </w:r>
      <w:r w:rsidR="00DD0865">
        <w:rPr>
          <w:rFonts w:asciiTheme="minorHAnsi" w:eastAsia="Times New Roman" w:hAnsiTheme="minorHAnsi"/>
          <w:color w:val="000000"/>
        </w:rPr>
        <w:t xml:space="preserve">. Here’s its description. </w:t>
      </w:r>
    </w:p>
    <w:p w14:paraId="24DB314D" w14:textId="77777777" w:rsidR="003A17AB" w:rsidRPr="00CB1460" w:rsidRDefault="003A17AB" w:rsidP="00FB14C0">
      <w:pPr>
        <w:jc w:val="both"/>
        <w:rPr>
          <w:rFonts w:asciiTheme="minorHAnsi" w:eastAsia="Times New Roman" w:hAnsiTheme="minorHAnsi"/>
          <w:color w:val="000000"/>
        </w:rPr>
      </w:pPr>
    </w:p>
    <w:p w14:paraId="5B55C224" w14:textId="5E7D7DD1" w:rsidR="00CB1460" w:rsidRDefault="003A17AB" w:rsidP="00456686">
      <w:pPr>
        <w:ind w:left="288" w:right="288"/>
        <w:jc w:val="both"/>
        <w:rPr>
          <w:rFonts w:asciiTheme="minorHAnsi" w:eastAsia="Times New Roman" w:hAnsiTheme="minorHAnsi"/>
          <w:i/>
          <w:color w:val="121212"/>
        </w:rPr>
      </w:pPr>
      <w:r w:rsidRPr="00CB1460">
        <w:rPr>
          <w:rFonts w:asciiTheme="minorHAnsi" w:eastAsia="Times New Roman" w:hAnsiTheme="minorHAnsi"/>
          <w:i/>
          <w:color w:val="121212"/>
        </w:rPr>
        <w:t>Our gauge counts how many stories in the </w:t>
      </w:r>
      <w:r w:rsidRPr="00CB1460">
        <w:rPr>
          <w:rFonts w:asciiTheme="minorHAnsi" w:eastAsia="Times New Roman" w:hAnsiTheme="minorHAnsi"/>
          <w:i/>
          <w:iCs/>
          <w:color w:val="121212"/>
        </w:rPr>
        <w:t>Washington Post </w:t>
      </w:r>
      <w:r w:rsidRPr="00CB1460">
        <w:rPr>
          <w:rFonts w:asciiTheme="minorHAnsi" w:eastAsia="Times New Roman" w:hAnsiTheme="minorHAnsi"/>
          <w:i/>
          <w:color w:val="121212"/>
        </w:rPr>
        <w:t>and the </w:t>
      </w:r>
      <w:r w:rsidRPr="00CB1460">
        <w:rPr>
          <w:rFonts w:asciiTheme="minorHAnsi" w:eastAsia="Times New Roman" w:hAnsiTheme="minorHAnsi"/>
          <w:i/>
          <w:iCs/>
          <w:color w:val="121212"/>
        </w:rPr>
        <w:t>New York Times </w:t>
      </w:r>
      <w:r w:rsidRPr="00CB1460">
        <w:rPr>
          <w:rFonts w:asciiTheme="minorHAnsi" w:eastAsia="Times New Roman" w:hAnsiTheme="minorHAnsi"/>
          <w:i/>
          <w:color w:val="121212"/>
        </w:rPr>
        <w:t>use the word “recession” in a quarter. This simple formula pinpointed the start of recession in 1981 and 1990 and 2001. In the past few years the R-word index has been extremely low. It began to rise in the second half of 2007 and, measured at a quarterly rate</w:t>
      </w:r>
      <w:r w:rsidR="009637FD">
        <w:rPr>
          <w:rFonts w:asciiTheme="minorHAnsi" w:eastAsia="Times New Roman" w:hAnsiTheme="minorHAnsi"/>
          <w:i/>
          <w:color w:val="121212"/>
        </w:rPr>
        <w:t>, …</w:t>
      </w:r>
      <w:r w:rsidRPr="00CB1460">
        <w:rPr>
          <w:rFonts w:asciiTheme="minorHAnsi" w:eastAsia="Times New Roman" w:hAnsiTheme="minorHAnsi"/>
          <w:i/>
          <w:color w:val="121212"/>
        </w:rPr>
        <w:t xml:space="preserve"> soared in early 2008</w:t>
      </w:r>
      <w:r w:rsidR="00F77924" w:rsidRPr="00CB1460">
        <w:rPr>
          <w:rFonts w:asciiTheme="minorHAnsi" w:eastAsia="Times New Roman" w:hAnsiTheme="minorHAnsi"/>
          <w:i/>
          <w:color w:val="121212"/>
        </w:rPr>
        <w:t>.</w:t>
      </w:r>
      <w:r w:rsidR="00FB14C0" w:rsidRPr="00FB14C0">
        <w:rPr>
          <w:rStyle w:val="FootnoteReference"/>
          <w:rFonts w:asciiTheme="minorHAnsi" w:eastAsia="Times New Roman" w:hAnsiTheme="minorHAnsi"/>
          <w:color w:val="000000"/>
        </w:rPr>
        <w:t xml:space="preserve"> </w:t>
      </w:r>
      <w:r w:rsidR="00FB14C0" w:rsidRPr="00CB1460">
        <w:rPr>
          <w:rStyle w:val="FootnoteReference"/>
          <w:rFonts w:asciiTheme="minorHAnsi" w:eastAsia="Times New Roman" w:hAnsiTheme="minorHAnsi"/>
          <w:color w:val="000000"/>
        </w:rPr>
        <w:footnoteReference w:id="70"/>
      </w:r>
      <w:r w:rsidRPr="00CB1460">
        <w:rPr>
          <w:rFonts w:asciiTheme="minorHAnsi" w:eastAsia="Times New Roman" w:hAnsiTheme="minorHAnsi"/>
          <w:i/>
          <w:color w:val="121212"/>
        </w:rPr>
        <w:t> </w:t>
      </w:r>
    </w:p>
    <w:p w14:paraId="74208CBF" w14:textId="77777777" w:rsidR="0071730C" w:rsidRPr="00CB1460" w:rsidRDefault="0071730C" w:rsidP="00456686">
      <w:pPr>
        <w:ind w:left="288" w:right="288"/>
        <w:jc w:val="both"/>
        <w:rPr>
          <w:rFonts w:asciiTheme="minorHAnsi" w:eastAsia="Times New Roman" w:hAnsiTheme="minorHAnsi"/>
          <w:i/>
          <w:color w:val="121212"/>
        </w:rPr>
      </w:pPr>
    </w:p>
    <w:p w14:paraId="60641305" w14:textId="5288FE43" w:rsidR="002C0A9B" w:rsidRDefault="00C64AD3" w:rsidP="004645B6">
      <w:pPr>
        <w:jc w:val="both"/>
        <w:rPr>
          <w:rFonts w:asciiTheme="minorHAnsi" w:eastAsia="Times New Roman" w:hAnsiTheme="minorHAnsi"/>
          <w:color w:val="121212"/>
        </w:rPr>
      </w:pPr>
      <w:r>
        <w:rPr>
          <w:rFonts w:asciiTheme="minorHAnsi" w:eastAsia="Times New Roman" w:hAnsiTheme="minorHAnsi"/>
          <w:color w:val="121212"/>
        </w:rPr>
        <w:t>The Economist started writing about it</w:t>
      </w:r>
      <w:r w:rsidR="003D3027">
        <w:rPr>
          <w:rFonts w:asciiTheme="minorHAnsi" w:eastAsia="Times New Roman" w:hAnsiTheme="minorHAnsi"/>
          <w:color w:val="121212"/>
        </w:rPr>
        <w:t>s</w:t>
      </w:r>
      <w:r>
        <w:rPr>
          <w:rFonts w:asciiTheme="minorHAnsi" w:eastAsia="Times New Roman" w:hAnsiTheme="minorHAnsi"/>
          <w:color w:val="121212"/>
        </w:rPr>
        <w:t xml:space="preserve"> R-word index </w:t>
      </w:r>
      <w:r w:rsidR="003D3027">
        <w:rPr>
          <w:rFonts w:asciiTheme="minorHAnsi" w:eastAsia="Times New Roman" w:hAnsiTheme="minorHAnsi"/>
          <w:color w:val="121212"/>
        </w:rPr>
        <w:t xml:space="preserve">in 2001 </w:t>
      </w:r>
      <w:r>
        <w:rPr>
          <w:rFonts w:asciiTheme="minorHAnsi" w:eastAsia="Times New Roman" w:hAnsiTheme="minorHAnsi"/>
          <w:color w:val="121212"/>
        </w:rPr>
        <w:t>with the title, “Words that Can Harm You.”</w:t>
      </w:r>
      <w:r>
        <w:rPr>
          <w:rStyle w:val="FootnoteReference"/>
          <w:rFonts w:asciiTheme="minorHAnsi" w:eastAsia="Times New Roman" w:hAnsiTheme="minorHAnsi"/>
          <w:color w:val="121212"/>
        </w:rPr>
        <w:footnoteReference w:id="71"/>
      </w:r>
      <w:r w:rsidR="002F1E25">
        <w:rPr>
          <w:rFonts w:asciiTheme="minorHAnsi" w:eastAsia="Times New Roman" w:hAnsiTheme="minorHAnsi"/>
          <w:color w:val="121212"/>
        </w:rPr>
        <w:t xml:space="preserve"> But ho</w:t>
      </w:r>
      <w:r w:rsidR="00520D9C">
        <w:rPr>
          <w:rFonts w:asciiTheme="minorHAnsi" w:eastAsia="Times New Roman" w:hAnsiTheme="minorHAnsi"/>
          <w:color w:val="121212"/>
        </w:rPr>
        <w:t xml:space="preserve">w can words harm us unless they </w:t>
      </w:r>
      <w:r w:rsidR="005642AA">
        <w:rPr>
          <w:rFonts w:asciiTheme="minorHAnsi" w:eastAsia="Times New Roman" w:hAnsiTheme="minorHAnsi"/>
          <w:color w:val="121212"/>
        </w:rPr>
        <w:t xml:space="preserve">coordinate </w:t>
      </w:r>
      <w:r w:rsidR="001D7995">
        <w:rPr>
          <w:rFonts w:asciiTheme="minorHAnsi" w:eastAsia="Times New Roman" w:hAnsiTheme="minorHAnsi"/>
          <w:color w:val="121212"/>
        </w:rPr>
        <w:t xml:space="preserve">the public to take </w:t>
      </w:r>
      <w:r w:rsidR="005642AA">
        <w:rPr>
          <w:rFonts w:asciiTheme="minorHAnsi" w:eastAsia="Times New Roman" w:hAnsiTheme="minorHAnsi"/>
          <w:color w:val="121212"/>
        </w:rPr>
        <w:t xml:space="preserve">the wrong economic decisions? </w:t>
      </w:r>
      <w:r w:rsidR="003D3027">
        <w:rPr>
          <w:rFonts w:asciiTheme="minorHAnsi" w:eastAsia="Times New Roman" w:hAnsiTheme="minorHAnsi"/>
          <w:color w:val="121212"/>
        </w:rPr>
        <w:t xml:space="preserve">In January </w:t>
      </w:r>
      <w:r w:rsidR="00CB1460" w:rsidRPr="00CB1460">
        <w:rPr>
          <w:rFonts w:asciiTheme="minorHAnsi" w:eastAsia="Times New Roman" w:hAnsiTheme="minorHAnsi"/>
          <w:color w:val="121212"/>
        </w:rPr>
        <w:t>2008, The Economist reported that</w:t>
      </w:r>
      <w:r w:rsidR="00CB1460">
        <w:rPr>
          <w:rFonts w:asciiTheme="minorHAnsi" w:eastAsia="Times New Roman" w:hAnsiTheme="minorHAnsi"/>
          <w:color w:val="121212"/>
        </w:rPr>
        <w:t>,</w:t>
      </w:r>
      <w:r w:rsidR="00CB1460" w:rsidRPr="00CB1460">
        <w:rPr>
          <w:rFonts w:asciiTheme="minorHAnsi" w:eastAsia="Times New Roman" w:hAnsiTheme="minorHAnsi"/>
          <w:color w:val="121212"/>
        </w:rPr>
        <w:t xml:space="preserve"> </w:t>
      </w:r>
      <w:r w:rsidR="00CB1460">
        <w:rPr>
          <w:rFonts w:asciiTheme="minorHAnsi" w:eastAsia="Times New Roman" w:hAnsiTheme="minorHAnsi"/>
          <w:color w:val="121212"/>
        </w:rPr>
        <w:t>“</w:t>
      </w:r>
      <w:r w:rsidR="00CB1460" w:rsidRPr="00CB1460">
        <w:rPr>
          <w:rFonts w:asciiTheme="minorHAnsi" w:eastAsia="Times New Roman" w:hAnsiTheme="minorHAnsi"/>
          <w:color w:val="121212"/>
        </w:rPr>
        <w:t>Peddling gloom is the new parlour game on Wall Street and beyond.</w:t>
      </w:r>
      <w:r w:rsidR="00CB1460">
        <w:rPr>
          <w:rFonts w:asciiTheme="minorHAnsi" w:eastAsia="Times New Roman" w:hAnsiTheme="minorHAnsi"/>
          <w:color w:val="121212"/>
        </w:rPr>
        <w:t>”</w:t>
      </w:r>
      <w:r w:rsidR="00165BD7">
        <w:rPr>
          <w:rStyle w:val="FootnoteReference"/>
          <w:rFonts w:asciiTheme="minorHAnsi" w:eastAsia="Times New Roman" w:hAnsiTheme="minorHAnsi"/>
          <w:color w:val="121212"/>
        </w:rPr>
        <w:footnoteReference w:id="72"/>
      </w:r>
      <w:r w:rsidR="003D3027">
        <w:rPr>
          <w:rFonts w:asciiTheme="minorHAnsi" w:eastAsia="Times New Roman" w:hAnsiTheme="minorHAnsi"/>
          <w:color w:val="121212"/>
        </w:rPr>
        <w:t xml:space="preserve"> </w:t>
      </w:r>
      <w:r w:rsidR="006E0FC3">
        <w:rPr>
          <w:rFonts w:asciiTheme="minorHAnsi" w:eastAsia="Times New Roman" w:hAnsiTheme="minorHAnsi"/>
          <w:color w:val="121212"/>
        </w:rPr>
        <w:t xml:space="preserve">Peddling gloom means selling disaster. But who reaps the profits of gloom? The answer is the press, </w:t>
      </w:r>
      <w:r w:rsidR="00520D9C">
        <w:rPr>
          <w:rFonts w:asciiTheme="minorHAnsi" w:eastAsia="Times New Roman" w:hAnsiTheme="minorHAnsi"/>
          <w:color w:val="121212"/>
        </w:rPr>
        <w:t xml:space="preserve">which always need a fresh story, </w:t>
      </w:r>
      <w:r w:rsidR="006E0FC3">
        <w:rPr>
          <w:rFonts w:asciiTheme="minorHAnsi" w:eastAsia="Times New Roman" w:hAnsiTheme="minorHAnsi"/>
          <w:color w:val="121212"/>
        </w:rPr>
        <w:t>politicians</w:t>
      </w:r>
      <w:r w:rsidR="00520D9C">
        <w:rPr>
          <w:rFonts w:asciiTheme="minorHAnsi" w:eastAsia="Times New Roman" w:hAnsiTheme="minorHAnsi"/>
          <w:color w:val="121212"/>
        </w:rPr>
        <w:t>, who always need a fresh cause, an</w:t>
      </w:r>
      <w:r w:rsidR="008D35AF">
        <w:rPr>
          <w:rFonts w:asciiTheme="minorHAnsi" w:eastAsia="Times New Roman" w:hAnsiTheme="minorHAnsi"/>
          <w:color w:val="121212"/>
        </w:rPr>
        <w:t>d short sellers, who benefit from</w:t>
      </w:r>
      <w:r w:rsidR="000352D8">
        <w:rPr>
          <w:rFonts w:asciiTheme="minorHAnsi" w:eastAsia="Times New Roman" w:hAnsiTheme="minorHAnsi"/>
          <w:color w:val="121212"/>
        </w:rPr>
        <w:t xml:space="preserve"> </w:t>
      </w:r>
      <w:r w:rsidR="007A4251">
        <w:rPr>
          <w:rFonts w:asciiTheme="minorHAnsi" w:eastAsia="Times New Roman" w:hAnsiTheme="minorHAnsi"/>
          <w:color w:val="121212"/>
        </w:rPr>
        <w:t xml:space="preserve">external </w:t>
      </w:r>
      <w:r w:rsidR="000352D8">
        <w:rPr>
          <w:rFonts w:asciiTheme="minorHAnsi" w:eastAsia="Times New Roman" w:hAnsiTheme="minorHAnsi"/>
          <w:color w:val="121212"/>
        </w:rPr>
        <w:t xml:space="preserve">confirmation of their positions. </w:t>
      </w:r>
    </w:p>
    <w:p w14:paraId="26A83D4B" w14:textId="77777777" w:rsidR="001D7995" w:rsidRPr="00480E9C" w:rsidRDefault="001D7995" w:rsidP="004645B6">
      <w:pPr>
        <w:jc w:val="both"/>
        <w:rPr>
          <w:rFonts w:asciiTheme="minorHAnsi" w:eastAsia="Times New Roman" w:hAnsiTheme="minorHAnsi"/>
          <w:color w:val="121212"/>
        </w:rPr>
      </w:pPr>
    </w:p>
    <w:p w14:paraId="55466820" w14:textId="161C9808" w:rsidR="006D3793" w:rsidRDefault="006D3793" w:rsidP="005B2B5E">
      <w:pPr>
        <w:jc w:val="both"/>
        <w:rPr>
          <w:rFonts w:asciiTheme="minorHAnsi" w:eastAsia="Times New Roman" w:hAnsiTheme="minorHAnsi"/>
          <w:color w:val="000000"/>
        </w:rPr>
      </w:pPr>
      <w:r>
        <w:rPr>
          <w:rFonts w:asciiTheme="minorHAnsi" w:eastAsia="Times New Roman" w:hAnsiTheme="minorHAnsi"/>
          <w:color w:val="000000"/>
        </w:rPr>
        <w:t>Another indicator of fear is the VIX, which measures market expectations of stock market volatility. The VIX more than doubled in the year prior to the onset of the GR and then ros</w:t>
      </w:r>
      <w:r w:rsidR="009D0D54">
        <w:rPr>
          <w:rFonts w:asciiTheme="minorHAnsi" w:eastAsia="Times New Roman" w:hAnsiTheme="minorHAnsi"/>
          <w:color w:val="000000"/>
        </w:rPr>
        <w:t>e by a factor of three</w:t>
      </w:r>
      <w:r>
        <w:rPr>
          <w:rFonts w:asciiTheme="minorHAnsi" w:eastAsia="Times New Roman" w:hAnsiTheme="minorHAnsi"/>
          <w:color w:val="000000"/>
        </w:rPr>
        <w:t xml:space="preserve"> when Lehman </w:t>
      </w:r>
      <w:r w:rsidR="009D0D54">
        <w:rPr>
          <w:rFonts w:asciiTheme="minorHAnsi" w:eastAsia="Times New Roman" w:hAnsiTheme="minorHAnsi"/>
          <w:color w:val="000000"/>
        </w:rPr>
        <w:t>failed</w:t>
      </w:r>
      <w:r w:rsidR="00480E9C">
        <w:rPr>
          <w:rFonts w:asciiTheme="minorHAnsi" w:eastAsia="Times New Roman" w:hAnsiTheme="minorHAnsi"/>
          <w:color w:val="000000"/>
        </w:rPr>
        <w:t xml:space="preserve">. This confirmed </w:t>
      </w:r>
      <w:r w:rsidR="007A2C52">
        <w:rPr>
          <w:rFonts w:asciiTheme="minorHAnsi" w:eastAsia="Times New Roman" w:hAnsiTheme="minorHAnsi"/>
          <w:color w:val="000000"/>
        </w:rPr>
        <w:t>FCIC Chairman</w:t>
      </w:r>
      <w:r w:rsidR="009D0D54">
        <w:rPr>
          <w:rFonts w:asciiTheme="minorHAnsi" w:eastAsia="Times New Roman" w:hAnsiTheme="minorHAnsi"/>
          <w:color w:val="000000"/>
        </w:rPr>
        <w:t>, Phil Agenlides</w:t>
      </w:r>
      <w:r w:rsidR="00480E9C">
        <w:rPr>
          <w:rFonts w:asciiTheme="minorHAnsi" w:eastAsia="Times New Roman" w:hAnsiTheme="minorHAnsi"/>
          <w:color w:val="000000"/>
        </w:rPr>
        <w:t xml:space="preserve">’ analysis that </w:t>
      </w:r>
      <w:r w:rsidR="009D0D54">
        <w:rPr>
          <w:rFonts w:asciiTheme="minorHAnsi" w:eastAsia="Times New Roman" w:hAnsiTheme="minorHAnsi"/>
          <w:color w:val="000000"/>
        </w:rPr>
        <w:lastRenderedPageBreak/>
        <w:t>“panic seized the markets.”</w:t>
      </w:r>
      <w:r>
        <w:rPr>
          <w:rStyle w:val="FootnoteReference"/>
          <w:rFonts w:asciiTheme="minorHAnsi" w:eastAsia="Times New Roman" w:hAnsiTheme="minorHAnsi"/>
          <w:color w:val="000000"/>
        </w:rPr>
        <w:footnoteReference w:id="73"/>
      </w:r>
      <w:r>
        <w:rPr>
          <w:rFonts w:asciiTheme="minorHAnsi" w:eastAsia="Times New Roman" w:hAnsiTheme="minorHAnsi"/>
          <w:color w:val="000000"/>
        </w:rPr>
        <w:t xml:space="preserve"> There was, of course, no change on September 15, 2008 in the volatility </w:t>
      </w:r>
      <w:r w:rsidR="00A36D2A">
        <w:rPr>
          <w:rFonts w:asciiTheme="minorHAnsi" w:eastAsia="Times New Roman" w:hAnsiTheme="minorHAnsi"/>
          <w:color w:val="000000"/>
        </w:rPr>
        <w:t xml:space="preserve">of the real economy – no negative </w:t>
      </w:r>
      <w:r>
        <w:rPr>
          <w:rFonts w:asciiTheme="minorHAnsi" w:eastAsia="Times New Roman" w:hAnsiTheme="minorHAnsi"/>
          <w:color w:val="000000"/>
        </w:rPr>
        <w:t>technolog</w:t>
      </w:r>
      <w:r w:rsidR="00A36D2A">
        <w:rPr>
          <w:rFonts w:asciiTheme="minorHAnsi" w:eastAsia="Times New Roman" w:hAnsiTheme="minorHAnsi"/>
          <w:color w:val="000000"/>
        </w:rPr>
        <w:t xml:space="preserve">y shock, no outbreak of world war, no climatic </w:t>
      </w:r>
      <w:r w:rsidR="000F4D1A">
        <w:rPr>
          <w:rFonts w:asciiTheme="minorHAnsi" w:eastAsia="Times New Roman" w:hAnsiTheme="minorHAnsi"/>
          <w:color w:val="000000"/>
        </w:rPr>
        <w:t>cataclysm, no announcement</w:t>
      </w:r>
      <w:r w:rsidR="00A36D2A">
        <w:rPr>
          <w:rFonts w:asciiTheme="minorHAnsi" w:eastAsia="Times New Roman" w:hAnsiTheme="minorHAnsi"/>
          <w:color w:val="000000"/>
        </w:rPr>
        <w:t xml:space="preserve"> of trade war, no fresh revelations of fiscal insolvencies, no </w:t>
      </w:r>
      <w:r>
        <w:rPr>
          <w:rFonts w:asciiTheme="minorHAnsi" w:eastAsia="Times New Roman" w:hAnsiTheme="minorHAnsi"/>
          <w:color w:val="000000"/>
        </w:rPr>
        <w:t xml:space="preserve">unexpected wage </w:t>
      </w:r>
      <w:r w:rsidR="00A36D2A">
        <w:rPr>
          <w:rFonts w:asciiTheme="minorHAnsi" w:eastAsia="Times New Roman" w:hAnsiTheme="minorHAnsi"/>
          <w:color w:val="000000"/>
        </w:rPr>
        <w:t xml:space="preserve">hikes, no </w:t>
      </w:r>
      <w:r w:rsidR="00413AFF">
        <w:rPr>
          <w:rFonts w:asciiTheme="minorHAnsi" w:eastAsia="Times New Roman" w:hAnsiTheme="minorHAnsi"/>
          <w:color w:val="000000"/>
        </w:rPr>
        <w:t>announcement of hyperinflation –</w:t>
      </w:r>
      <w:r w:rsidR="000F4D1A">
        <w:rPr>
          <w:rFonts w:asciiTheme="minorHAnsi" w:eastAsia="Times New Roman" w:hAnsiTheme="minorHAnsi"/>
          <w:color w:val="000000"/>
        </w:rPr>
        <w:t xml:space="preserve"> </w:t>
      </w:r>
      <w:r w:rsidR="00413AFF">
        <w:rPr>
          <w:rFonts w:asciiTheme="minorHAnsi" w:eastAsia="Times New Roman" w:hAnsiTheme="minorHAnsi"/>
          <w:color w:val="000000"/>
        </w:rPr>
        <w:t xml:space="preserve">nothing, just collective, </w:t>
      </w:r>
      <w:r w:rsidR="00FB7F84">
        <w:rPr>
          <w:rFonts w:asciiTheme="minorHAnsi" w:eastAsia="Times New Roman" w:hAnsiTheme="minorHAnsi"/>
          <w:color w:val="000000"/>
        </w:rPr>
        <w:t>coordinated, mass panic that sent the financial markets reeling.</w:t>
      </w:r>
    </w:p>
    <w:p w14:paraId="6CCD2352" w14:textId="77777777" w:rsidR="0009093F" w:rsidRDefault="0009093F" w:rsidP="005B2B5E">
      <w:pPr>
        <w:jc w:val="both"/>
        <w:rPr>
          <w:rFonts w:asciiTheme="minorHAnsi" w:eastAsia="Times New Roman" w:hAnsiTheme="minorHAnsi"/>
          <w:color w:val="000000"/>
        </w:rPr>
      </w:pPr>
    </w:p>
    <w:p w14:paraId="0B5542A8" w14:textId="4EDB9637" w:rsidR="00A07B0B" w:rsidRDefault="00F56500" w:rsidP="005B2B5E">
      <w:pPr>
        <w:jc w:val="both"/>
        <w:rPr>
          <w:rFonts w:asciiTheme="minorHAnsi" w:eastAsia="Times New Roman" w:hAnsiTheme="minorHAnsi"/>
          <w:color w:val="000000"/>
        </w:rPr>
      </w:pPr>
      <w:r>
        <w:rPr>
          <w:rFonts w:asciiTheme="minorHAnsi" w:eastAsia="Times New Roman" w:hAnsiTheme="minorHAnsi"/>
          <w:color w:val="000000"/>
        </w:rPr>
        <w:t xml:space="preserve">When the public understands that fear, as President Roosevelt </w:t>
      </w:r>
      <w:r w:rsidR="003C1D75">
        <w:rPr>
          <w:rFonts w:asciiTheme="minorHAnsi" w:eastAsia="Times New Roman" w:hAnsiTheme="minorHAnsi"/>
          <w:color w:val="000000"/>
        </w:rPr>
        <w:t>so perceptively and succinctly</w:t>
      </w:r>
      <w:r w:rsidR="00555C0C">
        <w:rPr>
          <w:rFonts w:asciiTheme="minorHAnsi" w:eastAsia="Times New Roman" w:hAnsiTheme="minorHAnsi"/>
          <w:color w:val="000000"/>
        </w:rPr>
        <w:t xml:space="preserve"> </w:t>
      </w:r>
      <w:r>
        <w:rPr>
          <w:rFonts w:asciiTheme="minorHAnsi" w:eastAsia="Times New Roman" w:hAnsiTheme="minorHAnsi"/>
          <w:color w:val="000000"/>
        </w:rPr>
        <w:t xml:space="preserve">put it, is the only thing to fear, it becomes very interested in the state of fear. </w:t>
      </w:r>
      <w:r w:rsidR="00A07B0B">
        <w:rPr>
          <w:rFonts w:asciiTheme="minorHAnsi" w:eastAsia="Times New Roman" w:hAnsiTheme="minorHAnsi"/>
          <w:color w:val="000000"/>
        </w:rPr>
        <w:t>This is why</w:t>
      </w:r>
      <w:r w:rsidR="00F72FC1">
        <w:rPr>
          <w:rFonts w:asciiTheme="minorHAnsi" w:eastAsia="Times New Roman" w:hAnsiTheme="minorHAnsi"/>
          <w:color w:val="000000"/>
        </w:rPr>
        <w:t>, in the run up to the GR,</w:t>
      </w:r>
      <w:r w:rsidR="00E71673">
        <w:rPr>
          <w:rFonts w:asciiTheme="minorHAnsi" w:eastAsia="Times New Roman" w:hAnsiTheme="minorHAnsi"/>
          <w:color w:val="000000"/>
        </w:rPr>
        <w:t xml:space="preserve"> media </w:t>
      </w:r>
      <w:r w:rsidR="00A07B0B">
        <w:rPr>
          <w:rFonts w:asciiTheme="minorHAnsi" w:eastAsia="Times New Roman" w:hAnsiTheme="minorHAnsi"/>
          <w:color w:val="000000"/>
        </w:rPr>
        <w:t>mentions</w:t>
      </w:r>
      <w:r w:rsidR="00F72FC1">
        <w:rPr>
          <w:rFonts w:asciiTheme="minorHAnsi" w:eastAsia="Times New Roman" w:hAnsiTheme="minorHAnsi"/>
          <w:color w:val="000000"/>
        </w:rPr>
        <w:t xml:space="preserve"> of</w:t>
      </w:r>
      <w:r w:rsidR="00A07B0B">
        <w:rPr>
          <w:rFonts w:asciiTheme="minorHAnsi" w:eastAsia="Times New Roman" w:hAnsiTheme="minorHAnsi"/>
          <w:color w:val="000000"/>
        </w:rPr>
        <w:t xml:space="preserve"> </w:t>
      </w:r>
      <w:r w:rsidR="00F72FC1">
        <w:rPr>
          <w:rFonts w:asciiTheme="minorHAnsi" w:eastAsia="Times New Roman" w:hAnsiTheme="minorHAnsi"/>
          <w:color w:val="000000"/>
        </w:rPr>
        <w:t>and Google searches for</w:t>
      </w:r>
      <w:r w:rsidR="00A07B0B">
        <w:rPr>
          <w:rFonts w:asciiTheme="minorHAnsi" w:eastAsia="Times New Roman" w:hAnsiTheme="minorHAnsi"/>
          <w:color w:val="000000"/>
        </w:rPr>
        <w:t xml:space="preserve"> recession, dep</w:t>
      </w:r>
      <w:r w:rsidR="00F72FC1">
        <w:rPr>
          <w:rFonts w:asciiTheme="minorHAnsi" w:eastAsia="Times New Roman" w:hAnsiTheme="minorHAnsi"/>
          <w:color w:val="000000"/>
        </w:rPr>
        <w:t xml:space="preserve">ression, subprimes, liar loans, </w:t>
      </w:r>
      <w:r w:rsidR="00A07B0B">
        <w:rPr>
          <w:rFonts w:asciiTheme="minorHAnsi" w:eastAsia="Times New Roman" w:hAnsiTheme="minorHAnsi"/>
          <w:color w:val="000000"/>
        </w:rPr>
        <w:t>the Vix</w:t>
      </w:r>
      <w:r w:rsidR="00A07B0B" w:rsidRPr="00CB1460">
        <w:rPr>
          <w:rFonts w:asciiTheme="minorHAnsi" w:eastAsia="Times New Roman" w:hAnsiTheme="minorHAnsi"/>
          <w:color w:val="000000"/>
        </w:rPr>
        <w:t xml:space="preserve"> </w:t>
      </w:r>
      <w:r w:rsidR="00DC7E4B">
        <w:rPr>
          <w:rFonts w:asciiTheme="minorHAnsi" w:eastAsia="Times New Roman" w:hAnsiTheme="minorHAnsi"/>
          <w:color w:val="000000"/>
        </w:rPr>
        <w:t xml:space="preserve">and other indicators of gloom </w:t>
      </w:r>
      <w:r w:rsidR="00F72FC1">
        <w:rPr>
          <w:rFonts w:asciiTheme="minorHAnsi" w:eastAsia="Times New Roman" w:hAnsiTheme="minorHAnsi"/>
          <w:color w:val="000000"/>
        </w:rPr>
        <w:t xml:space="preserve">rose sharply. </w:t>
      </w:r>
      <w:r w:rsidR="009F3507">
        <w:rPr>
          <w:rFonts w:asciiTheme="minorHAnsi" w:eastAsia="Times New Roman" w:hAnsiTheme="minorHAnsi"/>
          <w:color w:val="000000"/>
        </w:rPr>
        <w:t xml:space="preserve">September 15, 2015 was, of course, the </w:t>
      </w:r>
      <w:r w:rsidR="0001508C">
        <w:rPr>
          <w:rFonts w:asciiTheme="minorHAnsi" w:eastAsia="Times New Roman" w:hAnsiTheme="minorHAnsi"/>
          <w:color w:val="000000"/>
        </w:rPr>
        <w:t xml:space="preserve">day Wall Street’s </w:t>
      </w:r>
      <w:r w:rsidR="009F3507">
        <w:rPr>
          <w:rFonts w:asciiTheme="minorHAnsi" w:eastAsia="Times New Roman" w:hAnsiTheme="minorHAnsi"/>
          <w:color w:val="000000"/>
        </w:rPr>
        <w:t>music died</w:t>
      </w:r>
      <w:r w:rsidR="0054347C">
        <w:rPr>
          <w:rFonts w:asciiTheme="minorHAnsi" w:eastAsia="Times New Roman" w:hAnsiTheme="minorHAnsi"/>
          <w:color w:val="000000"/>
        </w:rPr>
        <w:t>, producin</w:t>
      </w:r>
      <w:r w:rsidR="00E3392F">
        <w:rPr>
          <w:rFonts w:asciiTheme="minorHAnsi" w:eastAsia="Times New Roman" w:hAnsiTheme="minorHAnsi"/>
          <w:color w:val="000000"/>
        </w:rPr>
        <w:t xml:space="preserve">g a huge surge in searches for the entire </w:t>
      </w:r>
      <w:r w:rsidR="004B25B0">
        <w:rPr>
          <w:rFonts w:asciiTheme="minorHAnsi" w:eastAsia="Times New Roman" w:hAnsiTheme="minorHAnsi"/>
          <w:color w:val="000000"/>
        </w:rPr>
        <w:t xml:space="preserve">panoply </w:t>
      </w:r>
      <w:r w:rsidR="0054347C">
        <w:rPr>
          <w:rFonts w:asciiTheme="minorHAnsi" w:eastAsia="Times New Roman" w:hAnsiTheme="minorHAnsi"/>
          <w:color w:val="000000"/>
        </w:rPr>
        <w:t xml:space="preserve">of </w:t>
      </w:r>
      <w:r w:rsidR="00BF4A59">
        <w:rPr>
          <w:rFonts w:asciiTheme="minorHAnsi" w:eastAsia="Times New Roman" w:hAnsiTheme="minorHAnsi"/>
          <w:color w:val="000000"/>
        </w:rPr>
        <w:t xml:space="preserve">linguistic </w:t>
      </w:r>
      <w:r w:rsidR="0054347C">
        <w:rPr>
          <w:rFonts w:asciiTheme="minorHAnsi" w:eastAsia="Times New Roman" w:hAnsiTheme="minorHAnsi"/>
          <w:color w:val="000000"/>
        </w:rPr>
        <w:t>gloom</w:t>
      </w:r>
      <w:r w:rsidR="00A9732B">
        <w:rPr>
          <w:rFonts w:asciiTheme="minorHAnsi" w:eastAsia="Times New Roman" w:hAnsiTheme="minorHAnsi"/>
          <w:color w:val="000000"/>
        </w:rPr>
        <w:t xml:space="preserve"> and kicking off a 36 percent, 6</w:t>
      </w:r>
      <w:r w:rsidR="00F73827">
        <w:rPr>
          <w:rFonts w:asciiTheme="minorHAnsi" w:eastAsia="Times New Roman" w:hAnsiTheme="minorHAnsi"/>
          <w:color w:val="000000"/>
        </w:rPr>
        <w:t>-month drop in the stock market</w:t>
      </w:r>
      <w:r w:rsidR="00A07B0B">
        <w:rPr>
          <w:rFonts w:asciiTheme="minorHAnsi" w:eastAsia="Times New Roman" w:hAnsiTheme="minorHAnsi"/>
          <w:color w:val="000000"/>
        </w:rPr>
        <w:t>.</w:t>
      </w:r>
      <w:r w:rsidR="00A07B0B" w:rsidRPr="00CB1460">
        <w:rPr>
          <w:rStyle w:val="FootnoteReference"/>
          <w:rFonts w:asciiTheme="minorHAnsi" w:eastAsia="Times New Roman" w:hAnsiTheme="minorHAnsi"/>
          <w:color w:val="000000"/>
        </w:rPr>
        <w:footnoteReference w:id="74"/>
      </w:r>
    </w:p>
    <w:p w14:paraId="20543BA8" w14:textId="77777777" w:rsidR="00AD46D4" w:rsidRDefault="00AD46D4" w:rsidP="005B2B5E">
      <w:pPr>
        <w:jc w:val="both"/>
        <w:rPr>
          <w:rFonts w:asciiTheme="minorHAnsi" w:eastAsia="Times New Roman" w:hAnsiTheme="minorHAnsi"/>
          <w:color w:val="000000"/>
        </w:rPr>
      </w:pPr>
    </w:p>
    <w:p w14:paraId="07584950" w14:textId="1FD5088E" w:rsidR="00337EE7" w:rsidRDefault="00AD46D4" w:rsidP="006E3A7A">
      <w:pPr>
        <w:jc w:val="both"/>
        <w:rPr>
          <w:rFonts w:asciiTheme="minorHAnsi" w:eastAsia="Times New Roman" w:hAnsiTheme="minorHAnsi"/>
          <w:color w:val="000000"/>
        </w:rPr>
      </w:pPr>
      <w:r>
        <w:rPr>
          <w:rFonts w:asciiTheme="minorHAnsi" w:eastAsia="Times New Roman" w:hAnsiTheme="minorHAnsi"/>
          <w:color w:val="000000"/>
        </w:rPr>
        <w:t xml:space="preserve">The index of consumer sentiment led the R-word index in predicting an R. It peaked in January 2007 and fell </w:t>
      </w:r>
      <w:r w:rsidR="009B0A90">
        <w:rPr>
          <w:rFonts w:asciiTheme="minorHAnsi" w:eastAsia="Times New Roman" w:hAnsiTheme="minorHAnsi"/>
          <w:color w:val="000000"/>
        </w:rPr>
        <w:t xml:space="preserve">by almost one quarter over the course of the </w:t>
      </w:r>
      <w:r>
        <w:rPr>
          <w:rFonts w:asciiTheme="minorHAnsi" w:eastAsia="Times New Roman" w:hAnsiTheme="minorHAnsi"/>
          <w:color w:val="000000"/>
        </w:rPr>
        <w:t xml:space="preserve">year. </w:t>
      </w:r>
      <w:r w:rsidR="00541AE1">
        <w:rPr>
          <w:rFonts w:asciiTheme="minorHAnsi" w:eastAsia="Times New Roman" w:hAnsiTheme="minorHAnsi"/>
          <w:color w:val="000000"/>
        </w:rPr>
        <w:t>It fell by a roughly equal amount through June 2008 and then rebounded. But when Lehman collapsed, the index</w:t>
      </w:r>
      <w:r w:rsidR="00EF3663">
        <w:rPr>
          <w:rFonts w:asciiTheme="minorHAnsi" w:eastAsia="Times New Roman" w:hAnsiTheme="minorHAnsi"/>
          <w:color w:val="000000"/>
        </w:rPr>
        <w:t xml:space="preserve"> </w:t>
      </w:r>
      <w:r w:rsidR="00DE7BF5">
        <w:rPr>
          <w:rFonts w:asciiTheme="minorHAnsi" w:eastAsia="Times New Roman" w:hAnsiTheme="minorHAnsi"/>
          <w:color w:val="000000"/>
        </w:rPr>
        <w:t xml:space="preserve">immediately </w:t>
      </w:r>
      <w:r w:rsidR="00541AE1">
        <w:rPr>
          <w:rFonts w:asciiTheme="minorHAnsi" w:eastAsia="Times New Roman" w:hAnsiTheme="minorHAnsi"/>
          <w:color w:val="000000"/>
        </w:rPr>
        <w:t>plunged again</w:t>
      </w:r>
      <w:r w:rsidR="00DE7BF5">
        <w:rPr>
          <w:rFonts w:asciiTheme="minorHAnsi" w:eastAsia="Times New Roman" w:hAnsiTheme="minorHAnsi"/>
          <w:color w:val="000000"/>
        </w:rPr>
        <w:t xml:space="preserve"> despite no</w:t>
      </w:r>
      <w:r w:rsidR="00541AE1">
        <w:rPr>
          <w:rFonts w:asciiTheme="minorHAnsi" w:eastAsia="Times New Roman" w:hAnsiTheme="minorHAnsi"/>
          <w:color w:val="000000"/>
        </w:rPr>
        <w:t xml:space="preserve"> </w:t>
      </w:r>
      <w:r w:rsidR="00DE7BF5">
        <w:rPr>
          <w:rFonts w:asciiTheme="minorHAnsi" w:eastAsia="Times New Roman" w:hAnsiTheme="minorHAnsi"/>
          <w:color w:val="000000"/>
        </w:rPr>
        <w:t xml:space="preserve">immediate </w:t>
      </w:r>
      <w:r w:rsidR="00541AE1">
        <w:rPr>
          <w:rFonts w:asciiTheme="minorHAnsi" w:eastAsia="Times New Roman" w:hAnsiTheme="minorHAnsi"/>
          <w:color w:val="000000"/>
        </w:rPr>
        <w:t xml:space="preserve">changes </w:t>
      </w:r>
      <w:r w:rsidR="00DE7BF5">
        <w:rPr>
          <w:rFonts w:asciiTheme="minorHAnsi" w:eastAsia="Times New Roman" w:hAnsiTheme="minorHAnsi"/>
          <w:color w:val="000000"/>
        </w:rPr>
        <w:t xml:space="preserve">of any kind </w:t>
      </w:r>
      <w:r w:rsidR="00541AE1">
        <w:rPr>
          <w:rFonts w:asciiTheme="minorHAnsi" w:eastAsia="Times New Roman" w:hAnsiTheme="minorHAnsi"/>
          <w:color w:val="000000"/>
        </w:rPr>
        <w:t xml:space="preserve">to the </w:t>
      </w:r>
      <w:r w:rsidR="00DE7BF5">
        <w:rPr>
          <w:rFonts w:asciiTheme="minorHAnsi" w:eastAsia="Times New Roman" w:hAnsiTheme="minorHAnsi"/>
          <w:color w:val="000000"/>
        </w:rPr>
        <w:t xml:space="preserve">real </w:t>
      </w:r>
      <w:r w:rsidR="00541AE1">
        <w:rPr>
          <w:rFonts w:asciiTheme="minorHAnsi" w:eastAsia="Times New Roman" w:hAnsiTheme="minorHAnsi"/>
          <w:color w:val="000000"/>
        </w:rPr>
        <w:t xml:space="preserve">economy. I.e., Lehman’s bankruptcy destroyed not a single </w:t>
      </w:r>
      <w:r w:rsidR="00EF3663">
        <w:rPr>
          <w:rFonts w:asciiTheme="minorHAnsi" w:eastAsia="Times New Roman" w:hAnsiTheme="minorHAnsi"/>
          <w:color w:val="000000"/>
        </w:rPr>
        <w:t xml:space="preserve">Lehman </w:t>
      </w:r>
      <w:r w:rsidR="00541AE1">
        <w:rPr>
          <w:rFonts w:asciiTheme="minorHAnsi" w:eastAsia="Times New Roman" w:hAnsiTheme="minorHAnsi"/>
          <w:color w:val="000000"/>
        </w:rPr>
        <w:t>building</w:t>
      </w:r>
      <w:r w:rsidR="00EF3663">
        <w:rPr>
          <w:rFonts w:asciiTheme="minorHAnsi" w:eastAsia="Times New Roman" w:hAnsiTheme="minorHAnsi"/>
          <w:color w:val="000000"/>
        </w:rPr>
        <w:t xml:space="preserve">, file cabinet, computer, or </w:t>
      </w:r>
      <w:r w:rsidR="00DE7BF5">
        <w:rPr>
          <w:rFonts w:asciiTheme="minorHAnsi" w:eastAsia="Times New Roman" w:hAnsiTheme="minorHAnsi"/>
          <w:color w:val="000000"/>
        </w:rPr>
        <w:t xml:space="preserve">any </w:t>
      </w:r>
      <w:r w:rsidR="00541AE1">
        <w:rPr>
          <w:rFonts w:asciiTheme="minorHAnsi" w:eastAsia="Times New Roman" w:hAnsiTheme="minorHAnsi"/>
          <w:color w:val="000000"/>
        </w:rPr>
        <w:t>other type of capital</w:t>
      </w:r>
      <w:r w:rsidR="00E3392F">
        <w:rPr>
          <w:rFonts w:asciiTheme="minorHAnsi" w:eastAsia="Times New Roman" w:hAnsiTheme="minorHAnsi"/>
          <w:color w:val="000000"/>
        </w:rPr>
        <w:t xml:space="preserve">. And it </w:t>
      </w:r>
      <w:r w:rsidR="00DE7BF5">
        <w:rPr>
          <w:rFonts w:asciiTheme="minorHAnsi" w:eastAsia="Times New Roman" w:hAnsiTheme="minorHAnsi"/>
          <w:color w:val="000000"/>
        </w:rPr>
        <w:t xml:space="preserve">neither </w:t>
      </w:r>
      <w:r w:rsidR="00541AE1">
        <w:rPr>
          <w:rFonts w:asciiTheme="minorHAnsi" w:eastAsia="Times New Roman" w:hAnsiTheme="minorHAnsi"/>
          <w:color w:val="000000"/>
        </w:rPr>
        <w:t xml:space="preserve">killed </w:t>
      </w:r>
      <w:r w:rsidR="00DE7BF5">
        <w:rPr>
          <w:rFonts w:asciiTheme="minorHAnsi" w:eastAsia="Times New Roman" w:hAnsiTheme="minorHAnsi"/>
          <w:color w:val="000000"/>
        </w:rPr>
        <w:t xml:space="preserve">nor injured </w:t>
      </w:r>
      <w:r w:rsidR="00541AE1">
        <w:rPr>
          <w:rFonts w:asciiTheme="minorHAnsi" w:eastAsia="Times New Roman" w:hAnsiTheme="minorHAnsi"/>
          <w:color w:val="000000"/>
        </w:rPr>
        <w:t xml:space="preserve">a single </w:t>
      </w:r>
      <w:r w:rsidR="00EF3663">
        <w:rPr>
          <w:rFonts w:asciiTheme="minorHAnsi" w:eastAsia="Times New Roman" w:hAnsiTheme="minorHAnsi"/>
          <w:color w:val="000000"/>
        </w:rPr>
        <w:t>Lehman employee</w:t>
      </w:r>
      <w:r w:rsidR="00541AE1">
        <w:rPr>
          <w:rFonts w:asciiTheme="minorHAnsi" w:eastAsia="Times New Roman" w:hAnsiTheme="minorHAnsi"/>
          <w:color w:val="000000"/>
        </w:rPr>
        <w:t xml:space="preserve">. </w:t>
      </w:r>
    </w:p>
    <w:p w14:paraId="782D8881" w14:textId="77777777" w:rsidR="008E4076" w:rsidRDefault="008E4076" w:rsidP="006E3A7A">
      <w:pPr>
        <w:jc w:val="both"/>
        <w:rPr>
          <w:rFonts w:asciiTheme="minorHAnsi" w:eastAsia="Times New Roman" w:hAnsiTheme="minorHAnsi"/>
          <w:color w:val="000000"/>
        </w:rPr>
      </w:pPr>
    </w:p>
    <w:p w14:paraId="7D24DD2A" w14:textId="417F8A0E" w:rsidR="000B7715" w:rsidRDefault="00F57E08" w:rsidP="000B7715">
      <w:pPr>
        <w:jc w:val="both"/>
        <w:rPr>
          <w:rFonts w:asciiTheme="minorHAnsi" w:hAnsiTheme="minorHAnsi"/>
        </w:rPr>
      </w:pPr>
      <w:r>
        <w:rPr>
          <w:rFonts w:asciiTheme="minorHAnsi" w:hAnsiTheme="minorHAnsi"/>
        </w:rPr>
        <w:t xml:space="preserve">But the non-financial </w:t>
      </w:r>
      <w:r w:rsidR="00DA38B9">
        <w:rPr>
          <w:rFonts w:asciiTheme="minorHAnsi" w:hAnsiTheme="minorHAnsi"/>
        </w:rPr>
        <w:t xml:space="preserve">economy had </w:t>
      </w:r>
      <w:r w:rsidR="00576DAA">
        <w:rPr>
          <w:rFonts w:asciiTheme="minorHAnsi" w:hAnsiTheme="minorHAnsi"/>
        </w:rPr>
        <w:t xml:space="preserve">had enough. </w:t>
      </w:r>
      <w:r w:rsidR="008E4076" w:rsidRPr="00CB1460">
        <w:rPr>
          <w:rFonts w:asciiTheme="minorHAnsi" w:hAnsiTheme="minorHAnsi"/>
        </w:rPr>
        <w:t xml:space="preserve">In the nine months prior to September 15, 2008, there had been one major bad </w:t>
      </w:r>
      <w:r w:rsidR="00D46B47">
        <w:rPr>
          <w:rFonts w:asciiTheme="minorHAnsi" w:hAnsiTheme="minorHAnsi"/>
        </w:rPr>
        <w:t>financial news story after another</w:t>
      </w:r>
      <w:r w:rsidR="008E4076" w:rsidRPr="00CB1460">
        <w:rPr>
          <w:rFonts w:asciiTheme="minorHAnsi" w:hAnsiTheme="minorHAnsi"/>
        </w:rPr>
        <w:t xml:space="preserve">. </w:t>
      </w:r>
      <w:r w:rsidR="000B7715">
        <w:rPr>
          <w:rFonts w:asciiTheme="minorHAnsi" w:hAnsiTheme="minorHAnsi"/>
        </w:rPr>
        <w:t>The public had be</w:t>
      </w:r>
      <w:r w:rsidR="00D14A73">
        <w:rPr>
          <w:rFonts w:asciiTheme="minorHAnsi" w:hAnsiTheme="minorHAnsi"/>
        </w:rPr>
        <w:t>en bombarded with stories about</w:t>
      </w:r>
      <w:r w:rsidR="000B7715" w:rsidRPr="00CB1460">
        <w:rPr>
          <w:rFonts w:asciiTheme="minorHAnsi" w:hAnsiTheme="minorHAnsi"/>
        </w:rPr>
        <w:t xml:space="preserve"> liar loans, no doc loans, NINJA loans, rating shoppin</w:t>
      </w:r>
      <w:r w:rsidR="000B7715">
        <w:rPr>
          <w:rFonts w:asciiTheme="minorHAnsi" w:hAnsiTheme="minorHAnsi"/>
        </w:rPr>
        <w:t>g, regulatory capture, crazy-sounding</w:t>
      </w:r>
      <w:r w:rsidR="009C58C7">
        <w:rPr>
          <w:rFonts w:asciiTheme="minorHAnsi" w:hAnsiTheme="minorHAnsi"/>
        </w:rPr>
        <w:t>, hyper-complex</w:t>
      </w:r>
      <w:r w:rsidR="000B7715">
        <w:rPr>
          <w:rFonts w:asciiTheme="minorHAnsi" w:hAnsiTheme="minorHAnsi"/>
        </w:rPr>
        <w:t xml:space="preserve"> derivatives</w:t>
      </w:r>
      <w:r w:rsidR="009C58C7">
        <w:rPr>
          <w:rFonts w:asciiTheme="minorHAnsi" w:hAnsiTheme="minorHAnsi"/>
        </w:rPr>
        <w:t xml:space="preserve"> and derivatives of derivatives</w:t>
      </w:r>
      <w:r w:rsidR="000B7715">
        <w:rPr>
          <w:rFonts w:asciiTheme="minorHAnsi" w:hAnsiTheme="minorHAnsi"/>
        </w:rPr>
        <w:t>, extraordinary</w:t>
      </w:r>
      <w:r w:rsidR="00C8685A">
        <w:rPr>
          <w:rFonts w:asciiTheme="minorHAnsi" w:hAnsiTheme="minorHAnsi"/>
        </w:rPr>
        <w:t xml:space="preserve"> leverage, a</w:t>
      </w:r>
      <w:r w:rsidR="000B7715">
        <w:rPr>
          <w:rFonts w:asciiTheme="minorHAnsi" w:hAnsiTheme="minorHAnsi"/>
        </w:rPr>
        <w:t xml:space="preserve"> massive hous</w:t>
      </w:r>
      <w:r w:rsidR="00575C36">
        <w:rPr>
          <w:rFonts w:asciiTheme="minorHAnsi" w:hAnsiTheme="minorHAnsi"/>
        </w:rPr>
        <w:t>e price bubble in the process of</w:t>
      </w:r>
      <w:r w:rsidR="000B7715">
        <w:rPr>
          <w:rFonts w:asciiTheme="minorHAnsi" w:hAnsiTheme="minorHAnsi"/>
        </w:rPr>
        <w:t xml:space="preserve"> bursting</w:t>
      </w:r>
      <w:r w:rsidR="000B7715" w:rsidRPr="00CB1460">
        <w:rPr>
          <w:rFonts w:asciiTheme="minorHAnsi" w:hAnsiTheme="minorHAnsi"/>
        </w:rPr>
        <w:t xml:space="preserve">, </w:t>
      </w:r>
      <w:r w:rsidR="00BA423E">
        <w:rPr>
          <w:rFonts w:asciiTheme="minorHAnsi" w:hAnsiTheme="minorHAnsi"/>
        </w:rPr>
        <w:t xml:space="preserve">horribly </w:t>
      </w:r>
      <w:r w:rsidR="000B7715" w:rsidRPr="00CB1460">
        <w:rPr>
          <w:rFonts w:asciiTheme="minorHAnsi" w:hAnsiTheme="minorHAnsi"/>
        </w:rPr>
        <w:t xml:space="preserve">unaligned CEO incentives, predatory lending, bank failures, </w:t>
      </w:r>
      <w:r w:rsidR="000B7715">
        <w:rPr>
          <w:rFonts w:asciiTheme="minorHAnsi" w:hAnsiTheme="minorHAnsi"/>
        </w:rPr>
        <w:t>widespread opacity, bonus-based, originate to distribute</w:t>
      </w:r>
      <w:r w:rsidR="00BB143D">
        <w:rPr>
          <w:rStyle w:val="FootnoteReference"/>
          <w:rFonts w:asciiTheme="minorHAnsi" w:hAnsiTheme="minorHAnsi"/>
        </w:rPr>
        <w:footnoteReference w:id="75"/>
      </w:r>
      <w:r w:rsidR="000B7715">
        <w:rPr>
          <w:rFonts w:asciiTheme="minorHAnsi" w:hAnsiTheme="minorHAnsi"/>
        </w:rPr>
        <w:t xml:space="preserve"> </w:t>
      </w:r>
      <w:r w:rsidR="00C8685A">
        <w:rPr>
          <w:rFonts w:asciiTheme="minorHAnsi" w:hAnsiTheme="minorHAnsi"/>
        </w:rPr>
        <w:t xml:space="preserve">mortgage securitizations, … </w:t>
      </w:r>
    </w:p>
    <w:p w14:paraId="03A907A6" w14:textId="77777777" w:rsidR="0048588B" w:rsidRPr="00CB1460" w:rsidRDefault="0048588B" w:rsidP="000B7715">
      <w:pPr>
        <w:jc w:val="both"/>
        <w:rPr>
          <w:rFonts w:asciiTheme="minorHAnsi" w:hAnsiTheme="minorHAnsi"/>
        </w:rPr>
      </w:pPr>
    </w:p>
    <w:p w14:paraId="06B96F56" w14:textId="1F20E8F0" w:rsidR="008E4076" w:rsidRPr="00CB1460" w:rsidRDefault="006A0DE4" w:rsidP="008E4076">
      <w:pPr>
        <w:jc w:val="both"/>
        <w:rPr>
          <w:rFonts w:asciiTheme="minorHAnsi" w:hAnsiTheme="minorHAnsi"/>
        </w:rPr>
      </w:pPr>
      <w:r>
        <w:rPr>
          <w:rFonts w:asciiTheme="minorHAnsi" w:hAnsiTheme="minorHAnsi"/>
        </w:rPr>
        <w:t xml:space="preserve">To make matters </w:t>
      </w:r>
      <w:r w:rsidR="007A1011">
        <w:rPr>
          <w:rFonts w:asciiTheme="minorHAnsi" w:hAnsiTheme="minorHAnsi"/>
        </w:rPr>
        <w:t xml:space="preserve">both </w:t>
      </w:r>
      <w:r>
        <w:rPr>
          <w:rFonts w:asciiTheme="minorHAnsi" w:hAnsiTheme="minorHAnsi"/>
        </w:rPr>
        <w:t>worse</w:t>
      </w:r>
      <w:r w:rsidR="0048588B">
        <w:rPr>
          <w:rFonts w:asciiTheme="minorHAnsi" w:hAnsiTheme="minorHAnsi"/>
        </w:rPr>
        <w:t xml:space="preserve"> and highly concrete</w:t>
      </w:r>
      <w:r>
        <w:rPr>
          <w:rFonts w:asciiTheme="minorHAnsi" w:hAnsiTheme="minorHAnsi"/>
        </w:rPr>
        <w:t xml:space="preserve">, </w:t>
      </w:r>
      <w:r w:rsidR="008E4076" w:rsidRPr="00CB1460">
        <w:rPr>
          <w:rFonts w:asciiTheme="minorHAnsi" w:hAnsiTheme="minorHAnsi"/>
        </w:rPr>
        <w:t xml:space="preserve">Countrywide Financial, Bear Stearns, Fannie Mae, Freddie Mac, IndyMac, Merrill Lynch – all had been bought up at fire-sale prices or nationalized. In the days, weeks, and months following Lehman Brothers’ collapse, AIG, Washington Mutual, Citigroup, and Wachovia all hit the skids. </w:t>
      </w:r>
      <w:r w:rsidR="00F57E08">
        <w:rPr>
          <w:rFonts w:asciiTheme="minorHAnsi" w:hAnsiTheme="minorHAnsi"/>
        </w:rPr>
        <w:t>The real</w:t>
      </w:r>
      <w:r w:rsidR="008E4076" w:rsidRPr="00CB1460">
        <w:rPr>
          <w:rFonts w:asciiTheme="minorHAnsi" w:hAnsiTheme="minorHAnsi"/>
        </w:rPr>
        <w:t xml:space="preserve"> economy </w:t>
      </w:r>
      <w:r w:rsidR="00F57E08">
        <w:rPr>
          <w:rFonts w:asciiTheme="minorHAnsi" w:hAnsiTheme="minorHAnsi"/>
        </w:rPr>
        <w:t xml:space="preserve">surely </w:t>
      </w:r>
      <w:r w:rsidR="008E4076" w:rsidRPr="00CB1460">
        <w:rPr>
          <w:rFonts w:asciiTheme="minorHAnsi" w:hAnsiTheme="minorHAnsi"/>
        </w:rPr>
        <w:t xml:space="preserve">saw what was, fundamentally, just a reshuffling of financial players and asset ownership as a sure </w:t>
      </w:r>
      <w:r w:rsidR="00F57E08">
        <w:rPr>
          <w:rFonts w:asciiTheme="minorHAnsi" w:hAnsiTheme="minorHAnsi"/>
        </w:rPr>
        <w:t>sign (a very bright sunspot, if you will)</w:t>
      </w:r>
      <w:r w:rsidR="008E4076" w:rsidRPr="00CB1460">
        <w:rPr>
          <w:rFonts w:asciiTheme="minorHAnsi" w:hAnsiTheme="minorHAnsi"/>
        </w:rPr>
        <w:t xml:space="preserve"> that bad times were here again. The reaction was shift. Employers laid off their workers in droves to lower their payrolls before their customers stopped arriving. This was the worst of the many types of multiple equilibria associated with the GR. </w:t>
      </w:r>
    </w:p>
    <w:p w14:paraId="12F0D7E3" w14:textId="77777777" w:rsidR="008E4076" w:rsidRPr="00CB1460" w:rsidRDefault="008E4076" w:rsidP="008E4076">
      <w:pPr>
        <w:jc w:val="both"/>
        <w:rPr>
          <w:rFonts w:asciiTheme="minorHAnsi" w:hAnsiTheme="minorHAnsi"/>
        </w:rPr>
      </w:pPr>
    </w:p>
    <w:p w14:paraId="3C96E84C" w14:textId="572AE98A" w:rsidR="008E4076" w:rsidRPr="00CB1460" w:rsidRDefault="00195C18" w:rsidP="008E4076">
      <w:pPr>
        <w:jc w:val="both"/>
        <w:rPr>
          <w:rFonts w:asciiTheme="minorHAnsi" w:hAnsiTheme="minorHAnsi"/>
        </w:rPr>
      </w:pPr>
      <w:r>
        <w:rPr>
          <w:rFonts w:asciiTheme="minorHAnsi" w:hAnsiTheme="minorHAnsi"/>
        </w:rPr>
        <w:lastRenderedPageBreak/>
        <w:t>H</w:t>
      </w:r>
      <w:r w:rsidR="008E4076" w:rsidRPr="00CB1460">
        <w:rPr>
          <w:rFonts w:asciiTheme="minorHAnsi" w:hAnsiTheme="minorHAnsi"/>
        </w:rPr>
        <w:t>aving the economy flip on the basis of bad news about the financial system is</w:t>
      </w:r>
      <w:r w:rsidR="0082111C">
        <w:rPr>
          <w:rFonts w:asciiTheme="minorHAnsi" w:hAnsiTheme="minorHAnsi"/>
        </w:rPr>
        <w:t>, economically speaking,</w:t>
      </w:r>
      <w:r w:rsidR="008E4076" w:rsidRPr="00CB1460">
        <w:rPr>
          <w:rFonts w:asciiTheme="minorHAnsi" w:hAnsiTheme="minorHAnsi"/>
        </w:rPr>
        <w:t xml:space="preserve"> old hat. In 1720, insider trading and fraudulent misrepresentation led to collapses of both the South Sea and Mississippi bubbles. The attempted cornering of the U.S. bond market kindled the Panic of 1792. The sale of investments in the imaginary Latin American country of Poyais led to the Panic of 1825. ``Wildcat banking" helped produce the Panic of 1837. The embezzlement of assets from the Ohio Life and Trust Co. instigated the Railroad Crisis of 1857. Jay Gould and James Fisk's cornering of the gold market precipitated the 1869 Gold Panic. Cooke and Company's failure to disclose losses on Northern Pacific Railroad stock sparked the Panic of 1873. A failed cornering of United Cooper's stocks instigated the Panic of 1907. The Hatry Group's use of fraudulent collateral to buy United Steel, the sale of Florida swamp land, the Match King Hoax, the Samuel Ins</w:t>
      </w:r>
      <w:r w:rsidR="00222E00">
        <w:rPr>
          <w:rFonts w:asciiTheme="minorHAnsi" w:hAnsiTheme="minorHAnsi"/>
        </w:rPr>
        <w:t xml:space="preserve">ull fraud and </w:t>
      </w:r>
      <w:r w:rsidR="008E4076" w:rsidRPr="00CB1460">
        <w:rPr>
          <w:rFonts w:asciiTheme="minorHAnsi" w:hAnsiTheme="minorHAnsi"/>
        </w:rPr>
        <w:t>other swindles ushered in the Great Depression. And insider trading and stock manipulation brought down Drexel Burnham Lambert, precipitating the largest insurance failure in U.S. history.</w:t>
      </w:r>
      <w:r w:rsidR="008E4076" w:rsidRPr="00CB1460">
        <w:rPr>
          <w:rStyle w:val="FootnoteReference"/>
          <w:rFonts w:asciiTheme="minorHAnsi" w:hAnsiTheme="minorHAnsi"/>
        </w:rPr>
        <w:footnoteReference w:id="76"/>
      </w:r>
    </w:p>
    <w:p w14:paraId="045A745E" w14:textId="77777777" w:rsidR="008E4076" w:rsidRPr="004A6D45" w:rsidRDefault="008E4076" w:rsidP="008E4076">
      <w:pPr>
        <w:jc w:val="both"/>
        <w:rPr>
          <w:rFonts w:asciiTheme="minorHAnsi" w:hAnsiTheme="minorHAnsi"/>
          <w:b/>
        </w:rPr>
      </w:pPr>
    </w:p>
    <w:p w14:paraId="458626C9" w14:textId="0773795E" w:rsidR="00FD7D2E" w:rsidRDefault="008E4076" w:rsidP="006E3A7A">
      <w:pPr>
        <w:jc w:val="both"/>
        <w:rPr>
          <w:rFonts w:asciiTheme="minorHAnsi" w:hAnsiTheme="minorHAnsi"/>
        </w:rPr>
      </w:pPr>
      <w:r>
        <w:rPr>
          <w:rFonts w:asciiTheme="minorHAnsi" w:eastAsia="Times New Roman" w:hAnsiTheme="minorHAnsi"/>
          <w:color w:val="000000"/>
        </w:rPr>
        <w:t>W</w:t>
      </w:r>
      <w:r w:rsidR="000558B2">
        <w:rPr>
          <w:rFonts w:asciiTheme="minorHAnsi" w:eastAsia="Times New Roman" w:hAnsiTheme="minorHAnsi"/>
          <w:color w:val="000000"/>
        </w:rPr>
        <w:t xml:space="preserve">hen </w:t>
      </w:r>
      <w:r w:rsidR="0009093F">
        <w:rPr>
          <w:rFonts w:asciiTheme="minorHAnsi" w:eastAsia="Times New Roman" w:hAnsiTheme="minorHAnsi"/>
          <w:color w:val="000000"/>
        </w:rPr>
        <w:t>Lehman failed, all bets w</w:t>
      </w:r>
      <w:r w:rsidR="00284252">
        <w:rPr>
          <w:rFonts w:asciiTheme="minorHAnsi" w:eastAsia="Times New Roman" w:hAnsiTheme="minorHAnsi"/>
          <w:color w:val="000000"/>
        </w:rPr>
        <w:t xml:space="preserve">ere off, including those </w:t>
      </w:r>
      <w:r w:rsidR="00C85E94">
        <w:rPr>
          <w:rFonts w:asciiTheme="minorHAnsi" w:eastAsia="Times New Roman" w:hAnsiTheme="minorHAnsi"/>
          <w:color w:val="000000"/>
        </w:rPr>
        <w:t xml:space="preserve">placed </w:t>
      </w:r>
      <w:r w:rsidR="00337EE7">
        <w:rPr>
          <w:rFonts w:asciiTheme="minorHAnsi" w:eastAsia="Times New Roman" w:hAnsiTheme="minorHAnsi"/>
          <w:color w:val="000000"/>
        </w:rPr>
        <w:t xml:space="preserve">against financial collapse </w:t>
      </w:r>
      <w:r w:rsidR="00C85E94">
        <w:rPr>
          <w:rFonts w:asciiTheme="minorHAnsi" w:eastAsia="Times New Roman" w:hAnsiTheme="minorHAnsi"/>
          <w:color w:val="000000"/>
        </w:rPr>
        <w:t xml:space="preserve">by </w:t>
      </w:r>
      <w:r w:rsidR="00D74D3C">
        <w:rPr>
          <w:rFonts w:asciiTheme="minorHAnsi" w:eastAsia="Times New Roman" w:hAnsiTheme="minorHAnsi"/>
          <w:color w:val="000000"/>
        </w:rPr>
        <w:t xml:space="preserve">the world’s largest insurer, </w:t>
      </w:r>
      <w:r w:rsidR="00284252">
        <w:rPr>
          <w:rFonts w:asciiTheme="minorHAnsi" w:eastAsia="Times New Roman" w:hAnsiTheme="minorHAnsi"/>
          <w:color w:val="000000"/>
        </w:rPr>
        <w:t>AIG,</w:t>
      </w:r>
      <w:r w:rsidR="00337EE7">
        <w:rPr>
          <w:rFonts w:asciiTheme="minorHAnsi" w:eastAsia="Times New Roman" w:hAnsiTheme="minorHAnsi"/>
          <w:color w:val="000000"/>
        </w:rPr>
        <w:t xml:space="preserve"> which </w:t>
      </w:r>
      <w:r w:rsidR="00284252">
        <w:rPr>
          <w:rFonts w:asciiTheme="minorHAnsi" w:eastAsia="Times New Roman" w:hAnsiTheme="minorHAnsi"/>
          <w:color w:val="000000"/>
        </w:rPr>
        <w:t xml:space="preserve">was next </w:t>
      </w:r>
      <w:r w:rsidR="00C85E94">
        <w:rPr>
          <w:rFonts w:asciiTheme="minorHAnsi" w:eastAsia="Times New Roman" w:hAnsiTheme="minorHAnsi"/>
          <w:color w:val="000000"/>
        </w:rPr>
        <w:t>to go</w:t>
      </w:r>
      <w:r w:rsidR="00284252">
        <w:rPr>
          <w:rFonts w:asciiTheme="minorHAnsi" w:eastAsia="Times New Roman" w:hAnsiTheme="minorHAnsi"/>
          <w:color w:val="000000"/>
        </w:rPr>
        <w:t>.</w:t>
      </w:r>
      <w:r w:rsidR="0009093F">
        <w:rPr>
          <w:rFonts w:asciiTheme="minorHAnsi" w:eastAsia="Times New Roman" w:hAnsiTheme="minorHAnsi"/>
          <w:color w:val="000000"/>
        </w:rPr>
        <w:t xml:space="preserve"> </w:t>
      </w:r>
      <w:r w:rsidR="001B1AEC">
        <w:rPr>
          <w:rFonts w:asciiTheme="minorHAnsi" w:eastAsia="Times New Roman" w:hAnsiTheme="minorHAnsi"/>
          <w:color w:val="000000"/>
        </w:rPr>
        <w:t xml:space="preserve">Suddenly, it became </w:t>
      </w:r>
      <w:r w:rsidR="00337EE7">
        <w:rPr>
          <w:rFonts w:asciiTheme="minorHAnsi" w:eastAsia="Times New Roman" w:hAnsiTheme="minorHAnsi"/>
          <w:color w:val="000000"/>
        </w:rPr>
        <w:t>clear that t</w:t>
      </w:r>
      <w:r w:rsidR="001B1AEC">
        <w:rPr>
          <w:rFonts w:asciiTheme="minorHAnsi" w:eastAsia="Times New Roman" w:hAnsiTheme="minorHAnsi"/>
          <w:color w:val="000000"/>
        </w:rPr>
        <w:t>he global</w:t>
      </w:r>
      <w:r w:rsidR="0009093F">
        <w:rPr>
          <w:rFonts w:asciiTheme="minorHAnsi" w:eastAsia="Times New Roman" w:hAnsiTheme="minorHAnsi"/>
          <w:color w:val="000000"/>
        </w:rPr>
        <w:t xml:space="preserve"> financial system</w:t>
      </w:r>
      <w:r w:rsidR="00116A65">
        <w:rPr>
          <w:rFonts w:asciiTheme="minorHAnsi" w:eastAsia="Times New Roman" w:hAnsiTheme="minorHAnsi"/>
          <w:color w:val="000000"/>
        </w:rPr>
        <w:t xml:space="preserve"> </w:t>
      </w:r>
      <w:r w:rsidR="0009093F">
        <w:rPr>
          <w:rFonts w:asciiTheme="minorHAnsi" w:eastAsia="Times New Roman" w:hAnsiTheme="minorHAnsi"/>
          <w:color w:val="000000"/>
        </w:rPr>
        <w:t>could spontaneously implode</w:t>
      </w:r>
      <w:r w:rsidR="001B1AEC">
        <w:rPr>
          <w:rFonts w:asciiTheme="minorHAnsi" w:eastAsia="Times New Roman" w:hAnsiTheme="minorHAnsi"/>
          <w:color w:val="000000"/>
        </w:rPr>
        <w:t xml:space="preserve"> and that there was                                                                                                                                                                                                </w:t>
      </w:r>
      <w:r w:rsidR="00337EE7">
        <w:rPr>
          <w:rFonts w:asciiTheme="minorHAnsi" w:eastAsia="Times New Roman" w:hAnsiTheme="minorHAnsi"/>
          <w:color w:val="000000"/>
        </w:rPr>
        <w:t xml:space="preserve">no </w:t>
      </w:r>
      <w:r w:rsidR="0009093F">
        <w:rPr>
          <w:rFonts w:asciiTheme="minorHAnsi" w:eastAsia="Times New Roman" w:hAnsiTheme="minorHAnsi"/>
          <w:color w:val="000000"/>
        </w:rPr>
        <w:t xml:space="preserve">guarantee governments could stop it. </w:t>
      </w:r>
      <w:r w:rsidR="005F1FC7">
        <w:rPr>
          <w:rFonts w:asciiTheme="minorHAnsi" w:eastAsia="Times New Roman" w:hAnsiTheme="minorHAnsi"/>
          <w:color w:val="000000"/>
        </w:rPr>
        <w:t xml:space="preserve">They </w:t>
      </w:r>
      <w:r w:rsidR="00A76BB3">
        <w:rPr>
          <w:rFonts w:asciiTheme="minorHAnsi" w:eastAsia="Times New Roman" w:hAnsiTheme="minorHAnsi"/>
          <w:color w:val="000000"/>
        </w:rPr>
        <w:t xml:space="preserve">were lucky and </w:t>
      </w:r>
      <w:r w:rsidR="005F1FC7">
        <w:rPr>
          <w:rFonts w:asciiTheme="minorHAnsi" w:eastAsia="Times New Roman" w:hAnsiTheme="minorHAnsi"/>
          <w:color w:val="000000"/>
        </w:rPr>
        <w:t xml:space="preserve">did stop it, but not before </w:t>
      </w:r>
      <w:r w:rsidR="0009093F">
        <w:rPr>
          <w:rFonts w:asciiTheme="minorHAnsi" w:eastAsia="Times New Roman" w:hAnsiTheme="minorHAnsi"/>
          <w:color w:val="000000"/>
        </w:rPr>
        <w:t xml:space="preserve">29 of the world’s largest financial companies </w:t>
      </w:r>
      <w:r w:rsidR="0009093F" w:rsidRPr="00CB1460">
        <w:rPr>
          <w:rFonts w:asciiTheme="minorHAnsi" w:hAnsiTheme="minorHAnsi"/>
        </w:rPr>
        <w:t>were either nationalized, sold off in shot-gun weddings</w:t>
      </w:r>
      <w:r w:rsidR="0009093F">
        <w:rPr>
          <w:rFonts w:asciiTheme="minorHAnsi" w:hAnsiTheme="minorHAnsi"/>
        </w:rPr>
        <w:t xml:space="preserve"> or went bankrupt. </w:t>
      </w:r>
      <w:r w:rsidR="00FD7D2E">
        <w:rPr>
          <w:rFonts w:asciiTheme="minorHAnsi" w:hAnsiTheme="minorHAnsi"/>
        </w:rPr>
        <w:t xml:space="preserve">The fact that the panic moved back and forth across the ocean tells us that </w:t>
      </w:r>
      <w:r w:rsidR="009408D6" w:rsidRPr="00CB1460">
        <w:rPr>
          <w:rFonts w:asciiTheme="minorHAnsi" w:hAnsiTheme="minorHAnsi"/>
        </w:rPr>
        <w:t>financial contagion spr</w:t>
      </w:r>
      <w:r w:rsidR="00531669">
        <w:rPr>
          <w:rFonts w:asciiTheme="minorHAnsi" w:hAnsiTheme="minorHAnsi"/>
        </w:rPr>
        <w:t xml:space="preserve">eads </w:t>
      </w:r>
      <w:r w:rsidR="00FD7D2E">
        <w:rPr>
          <w:rFonts w:asciiTheme="minorHAnsi" w:hAnsiTheme="minorHAnsi"/>
        </w:rPr>
        <w:t xml:space="preserve">globally as well as </w:t>
      </w:r>
      <w:r w:rsidR="00531669">
        <w:rPr>
          <w:rFonts w:asciiTheme="minorHAnsi" w:hAnsiTheme="minorHAnsi"/>
        </w:rPr>
        <w:t xml:space="preserve">domestically and </w:t>
      </w:r>
      <w:r w:rsidR="00FD7D2E">
        <w:rPr>
          <w:rFonts w:asciiTheme="minorHAnsi" w:hAnsiTheme="minorHAnsi"/>
        </w:rPr>
        <w:t xml:space="preserve">doesn’t require </w:t>
      </w:r>
      <w:r w:rsidR="00531669">
        <w:rPr>
          <w:rFonts w:asciiTheme="minorHAnsi" w:hAnsiTheme="minorHAnsi"/>
        </w:rPr>
        <w:t xml:space="preserve">interconnected balance sheets. </w:t>
      </w:r>
      <w:r w:rsidR="00FD7D2E">
        <w:rPr>
          <w:rFonts w:asciiTheme="minorHAnsi" w:hAnsiTheme="minorHAnsi"/>
        </w:rPr>
        <w:t xml:space="preserve">This too represents evidence of multiple equilibrium. </w:t>
      </w:r>
    </w:p>
    <w:p w14:paraId="5332AC28" w14:textId="77777777" w:rsidR="00FD7D2E" w:rsidRDefault="00FD7D2E" w:rsidP="006E3A7A">
      <w:pPr>
        <w:jc w:val="both"/>
        <w:rPr>
          <w:rFonts w:asciiTheme="minorHAnsi" w:hAnsiTheme="minorHAnsi"/>
        </w:rPr>
      </w:pPr>
    </w:p>
    <w:p w14:paraId="766E1FBE" w14:textId="213549CF" w:rsidR="00AF08DB" w:rsidRDefault="00531669" w:rsidP="006E3A7A">
      <w:pPr>
        <w:jc w:val="both"/>
        <w:rPr>
          <w:rFonts w:asciiTheme="minorHAnsi" w:hAnsiTheme="minorHAnsi"/>
        </w:rPr>
      </w:pPr>
      <w:r>
        <w:rPr>
          <w:rFonts w:asciiTheme="minorHAnsi" w:hAnsiTheme="minorHAnsi"/>
        </w:rPr>
        <w:t>Cons</w:t>
      </w:r>
      <w:r w:rsidR="00782821">
        <w:rPr>
          <w:rFonts w:asciiTheme="minorHAnsi" w:hAnsiTheme="minorHAnsi"/>
        </w:rPr>
        <w:t>ider, in this regard, the Cypriot banking crisis of late 2012 and early 2013.</w:t>
      </w:r>
      <w:r w:rsidR="00782821">
        <w:rPr>
          <w:rStyle w:val="FootnoteReference"/>
          <w:rFonts w:asciiTheme="minorHAnsi" w:hAnsiTheme="minorHAnsi"/>
        </w:rPr>
        <w:footnoteReference w:id="77"/>
      </w:r>
      <w:r w:rsidR="00782821">
        <w:rPr>
          <w:rFonts w:asciiTheme="minorHAnsi" w:hAnsiTheme="minorHAnsi"/>
        </w:rPr>
        <w:t xml:space="preserve"> The possible failure of t</w:t>
      </w:r>
      <w:r w:rsidR="001B1AEC">
        <w:rPr>
          <w:rFonts w:asciiTheme="minorHAnsi" w:hAnsiTheme="minorHAnsi"/>
        </w:rPr>
        <w:t>wo small banks in that</w:t>
      </w:r>
      <w:r w:rsidR="00782821">
        <w:rPr>
          <w:rFonts w:asciiTheme="minorHAnsi" w:hAnsiTheme="minorHAnsi"/>
        </w:rPr>
        <w:t xml:space="preserve"> tiny country became front page </w:t>
      </w:r>
      <w:r w:rsidR="006757AD">
        <w:rPr>
          <w:rFonts w:asciiTheme="minorHAnsi" w:hAnsiTheme="minorHAnsi"/>
        </w:rPr>
        <w:t xml:space="preserve">global </w:t>
      </w:r>
      <w:r w:rsidR="00782821">
        <w:rPr>
          <w:rFonts w:asciiTheme="minorHAnsi" w:hAnsiTheme="minorHAnsi"/>
        </w:rPr>
        <w:t xml:space="preserve">news </w:t>
      </w:r>
      <w:r w:rsidR="00691B3C">
        <w:rPr>
          <w:rFonts w:asciiTheme="minorHAnsi" w:hAnsiTheme="minorHAnsi"/>
        </w:rPr>
        <w:t xml:space="preserve">for weeks </w:t>
      </w:r>
      <w:r w:rsidR="006757AD">
        <w:rPr>
          <w:rFonts w:asciiTheme="minorHAnsi" w:hAnsiTheme="minorHAnsi"/>
        </w:rPr>
        <w:t>not because the two banks</w:t>
      </w:r>
      <w:r w:rsidR="00782821">
        <w:rPr>
          <w:rFonts w:asciiTheme="minorHAnsi" w:hAnsiTheme="minorHAnsi"/>
        </w:rPr>
        <w:t xml:space="preserve"> were</w:t>
      </w:r>
      <w:r w:rsidR="006757AD">
        <w:rPr>
          <w:rFonts w:asciiTheme="minorHAnsi" w:hAnsiTheme="minorHAnsi"/>
        </w:rPr>
        <w:t xml:space="preserve"> important in of themselves. Instead,</w:t>
      </w:r>
      <w:r w:rsidR="00782821">
        <w:rPr>
          <w:rFonts w:asciiTheme="minorHAnsi" w:hAnsiTheme="minorHAnsi"/>
        </w:rPr>
        <w:t xml:space="preserve"> a failure of these banks</w:t>
      </w:r>
      <w:r w:rsidR="006757AD">
        <w:rPr>
          <w:rFonts w:asciiTheme="minorHAnsi" w:hAnsiTheme="minorHAnsi"/>
        </w:rPr>
        <w:t>,</w:t>
      </w:r>
      <w:r w:rsidR="00691B3C">
        <w:rPr>
          <w:rFonts w:asciiTheme="minorHAnsi" w:hAnsiTheme="minorHAnsi"/>
        </w:rPr>
        <w:t xml:space="preserve"> to the </w:t>
      </w:r>
      <w:r w:rsidR="006757AD">
        <w:rPr>
          <w:rFonts w:asciiTheme="minorHAnsi" w:hAnsiTheme="minorHAnsi"/>
        </w:rPr>
        <w:t xml:space="preserve">severe </w:t>
      </w:r>
      <w:r w:rsidR="00691B3C">
        <w:rPr>
          <w:rFonts w:asciiTheme="minorHAnsi" w:hAnsiTheme="minorHAnsi"/>
        </w:rPr>
        <w:t xml:space="preserve">detriment of </w:t>
      </w:r>
      <w:r w:rsidR="00782821">
        <w:rPr>
          <w:rFonts w:asciiTheme="minorHAnsi" w:hAnsiTheme="minorHAnsi"/>
        </w:rPr>
        <w:t>depositors</w:t>
      </w:r>
      <w:r w:rsidR="006757AD">
        <w:rPr>
          <w:rFonts w:asciiTheme="minorHAnsi" w:hAnsiTheme="minorHAnsi"/>
        </w:rPr>
        <w:t>,</w:t>
      </w:r>
      <w:r w:rsidR="00782821">
        <w:rPr>
          <w:rFonts w:asciiTheme="minorHAnsi" w:hAnsiTheme="minorHAnsi"/>
        </w:rPr>
        <w:t xml:space="preserve"> could have led to a run on Greek banks, followed by a run on banks in Italy and Spain, followed by a run on … </w:t>
      </w:r>
      <w:r w:rsidR="00AF08DB">
        <w:rPr>
          <w:rFonts w:asciiTheme="minorHAnsi" w:hAnsiTheme="minorHAnsi"/>
        </w:rPr>
        <w:t>Rather than let the two banks fail,</w:t>
      </w:r>
      <w:r w:rsidR="003325B0" w:rsidRPr="00CB1460">
        <w:rPr>
          <w:rFonts w:asciiTheme="minorHAnsi" w:hAnsiTheme="minorHAnsi"/>
        </w:rPr>
        <w:t xml:space="preserve"> the</w:t>
      </w:r>
      <w:r w:rsidR="006A11E5" w:rsidRPr="00CB1460">
        <w:rPr>
          <w:rFonts w:asciiTheme="minorHAnsi" w:hAnsiTheme="minorHAnsi"/>
        </w:rPr>
        <w:t xml:space="preserve"> European Commission,</w:t>
      </w:r>
      <w:r w:rsidR="003325B0" w:rsidRPr="00CB1460">
        <w:rPr>
          <w:rFonts w:asciiTheme="minorHAnsi" w:hAnsiTheme="minorHAnsi"/>
        </w:rPr>
        <w:t xml:space="preserve"> European Central Bank,</w:t>
      </w:r>
      <w:r w:rsidR="00AF08DB">
        <w:rPr>
          <w:rFonts w:asciiTheme="minorHAnsi" w:hAnsiTheme="minorHAnsi"/>
        </w:rPr>
        <w:t xml:space="preserve"> and</w:t>
      </w:r>
      <w:r w:rsidR="006A11E5" w:rsidRPr="00CB1460">
        <w:rPr>
          <w:rFonts w:asciiTheme="minorHAnsi" w:hAnsiTheme="minorHAnsi"/>
        </w:rPr>
        <w:t xml:space="preserve"> IMF</w:t>
      </w:r>
      <w:r w:rsidR="00AF08DB">
        <w:rPr>
          <w:rFonts w:asciiTheme="minorHAnsi" w:hAnsiTheme="minorHAnsi"/>
        </w:rPr>
        <w:t xml:space="preserve"> held emergency meetings and provided a bailout. This was a case of too small to fail – another clear sign of a global financial system that was too unstable </w:t>
      </w:r>
      <w:r w:rsidR="00394E54">
        <w:rPr>
          <w:rFonts w:asciiTheme="minorHAnsi" w:hAnsiTheme="minorHAnsi"/>
        </w:rPr>
        <w:t xml:space="preserve">(too prone to multiple equilibrium) </w:t>
      </w:r>
      <w:r w:rsidR="00AF08DB">
        <w:rPr>
          <w:rFonts w:asciiTheme="minorHAnsi" w:hAnsiTheme="minorHAnsi"/>
        </w:rPr>
        <w:t xml:space="preserve">to absorb even a seemingly minor jolt. </w:t>
      </w:r>
    </w:p>
    <w:p w14:paraId="378831A1" w14:textId="77777777" w:rsidR="002B6642" w:rsidRDefault="002B6642" w:rsidP="006E3A7A">
      <w:pPr>
        <w:jc w:val="both"/>
        <w:rPr>
          <w:rFonts w:asciiTheme="minorHAnsi" w:hAnsiTheme="minorHAnsi"/>
        </w:rPr>
      </w:pPr>
    </w:p>
    <w:p w14:paraId="3F53D46C" w14:textId="2E786644" w:rsidR="00D87FE4" w:rsidRDefault="00D70275" w:rsidP="006E3A7A">
      <w:pPr>
        <w:jc w:val="both"/>
        <w:rPr>
          <w:rFonts w:asciiTheme="minorHAnsi" w:hAnsiTheme="minorHAnsi"/>
        </w:rPr>
      </w:pPr>
      <w:r>
        <w:rPr>
          <w:rFonts w:asciiTheme="minorHAnsi" w:hAnsiTheme="minorHAnsi"/>
        </w:rPr>
        <w:t xml:space="preserve">As the international financial system was effectively taken into receivership by the Federal Reserve, the European Central Bank, the Bank of England and the Bank of Japan, </w:t>
      </w:r>
      <w:r w:rsidR="00BB619D">
        <w:rPr>
          <w:rFonts w:asciiTheme="minorHAnsi" w:hAnsiTheme="minorHAnsi"/>
        </w:rPr>
        <w:t>the real economy ground</w:t>
      </w:r>
      <w:r>
        <w:rPr>
          <w:rFonts w:asciiTheme="minorHAnsi" w:hAnsiTheme="minorHAnsi"/>
        </w:rPr>
        <w:t xml:space="preserve"> down to a prol</w:t>
      </w:r>
      <w:r w:rsidR="00FD7D2E">
        <w:rPr>
          <w:rFonts w:asciiTheme="minorHAnsi" w:hAnsiTheme="minorHAnsi"/>
        </w:rPr>
        <w:t>onged period of stagnation</w:t>
      </w:r>
      <w:r w:rsidR="00D87FE4">
        <w:rPr>
          <w:rFonts w:asciiTheme="minorHAnsi" w:hAnsiTheme="minorHAnsi"/>
        </w:rPr>
        <w:t>, and, in Spain and Greece, depression</w:t>
      </w:r>
      <w:r w:rsidR="00FD7D2E">
        <w:rPr>
          <w:rFonts w:asciiTheme="minorHAnsi" w:hAnsiTheme="minorHAnsi"/>
        </w:rPr>
        <w:t xml:space="preserve">. </w:t>
      </w:r>
      <w:r w:rsidR="001C61E6">
        <w:rPr>
          <w:rFonts w:asciiTheme="minorHAnsi" w:hAnsiTheme="minorHAnsi"/>
        </w:rPr>
        <w:t>In the U.S., t</w:t>
      </w:r>
      <w:r>
        <w:rPr>
          <w:rFonts w:asciiTheme="minorHAnsi" w:hAnsiTheme="minorHAnsi"/>
        </w:rPr>
        <w:t xml:space="preserve">he index of consumer sentiment </w:t>
      </w:r>
      <w:r w:rsidR="008A66C8">
        <w:rPr>
          <w:rFonts w:asciiTheme="minorHAnsi" w:hAnsiTheme="minorHAnsi"/>
        </w:rPr>
        <w:t xml:space="preserve">didn’t return to its 2007 peak for an entire decade. </w:t>
      </w:r>
      <w:r w:rsidR="00C37703">
        <w:rPr>
          <w:rFonts w:asciiTheme="minorHAnsi" w:hAnsiTheme="minorHAnsi"/>
        </w:rPr>
        <w:t xml:space="preserve">The slow recovery </w:t>
      </w:r>
      <w:r w:rsidR="00D87FE4">
        <w:rPr>
          <w:rFonts w:asciiTheme="minorHAnsi" w:hAnsiTheme="minorHAnsi"/>
        </w:rPr>
        <w:t xml:space="preserve">is hard to explain except as the result of everyone expecting a slow recovery. </w:t>
      </w:r>
    </w:p>
    <w:p w14:paraId="0E090E93" w14:textId="77777777" w:rsidR="00D87FE4" w:rsidRDefault="00D87FE4" w:rsidP="006E3A7A">
      <w:pPr>
        <w:jc w:val="both"/>
        <w:rPr>
          <w:rFonts w:asciiTheme="minorHAnsi" w:hAnsiTheme="minorHAnsi"/>
        </w:rPr>
      </w:pPr>
    </w:p>
    <w:p w14:paraId="6C8DB9DD" w14:textId="1D9F9F40" w:rsidR="0060697E" w:rsidRPr="00CB1460" w:rsidRDefault="00D87FE4" w:rsidP="0060697E">
      <w:pPr>
        <w:jc w:val="both"/>
        <w:rPr>
          <w:rFonts w:asciiTheme="minorHAnsi" w:hAnsiTheme="minorHAnsi"/>
        </w:rPr>
      </w:pPr>
      <w:r>
        <w:rPr>
          <w:rFonts w:asciiTheme="minorHAnsi" w:hAnsiTheme="minorHAnsi"/>
        </w:rPr>
        <w:lastRenderedPageBreak/>
        <w:t>Economies can stay</w:t>
      </w:r>
      <w:r w:rsidR="004918A7" w:rsidRPr="00CB1460">
        <w:rPr>
          <w:rFonts w:asciiTheme="minorHAnsi" w:hAnsiTheme="minorHAnsi"/>
        </w:rPr>
        <w:t xml:space="preserve"> in bad equilibriums</w:t>
      </w:r>
      <w:r w:rsidR="00EB75C3" w:rsidRPr="00CB1460">
        <w:rPr>
          <w:rFonts w:asciiTheme="minorHAnsi" w:hAnsiTheme="minorHAnsi"/>
        </w:rPr>
        <w:t xml:space="preserve"> for very long times until there is enough good</w:t>
      </w:r>
      <w:r w:rsidR="000E3847">
        <w:rPr>
          <w:rFonts w:asciiTheme="minorHAnsi" w:hAnsiTheme="minorHAnsi"/>
        </w:rPr>
        <w:t xml:space="preserve"> economic</w:t>
      </w:r>
      <w:r w:rsidR="00EB75C3" w:rsidRPr="00CB1460">
        <w:rPr>
          <w:rFonts w:asciiTheme="minorHAnsi" w:hAnsiTheme="minorHAnsi"/>
        </w:rPr>
        <w:t xml:space="preserve"> news</w:t>
      </w:r>
      <w:r w:rsidR="004918A7" w:rsidRPr="00CB1460">
        <w:rPr>
          <w:rFonts w:asciiTheme="minorHAnsi" w:hAnsiTheme="minorHAnsi"/>
        </w:rPr>
        <w:t xml:space="preserve"> to collectively galvanize animal spirits.</w:t>
      </w:r>
      <w:r w:rsidR="000E3847">
        <w:rPr>
          <w:rStyle w:val="FootnoteReference"/>
          <w:rFonts w:asciiTheme="minorHAnsi" w:hAnsiTheme="minorHAnsi"/>
        </w:rPr>
        <w:footnoteReference w:id="78"/>
      </w:r>
      <w:r w:rsidR="00BA3F14">
        <w:rPr>
          <w:rFonts w:asciiTheme="minorHAnsi" w:hAnsiTheme="minorHAnsi"/>
        </w:rPr>
        <w:t xml:space="preserve"> </w:t>
      </w:r>
      <w:r w:rsidR="002A37E1">
        <w:rPr>
          <w:rFonts w:asciiTheme="minorHAnsi" w:hAnsiTheme="minorHAnsi"/>
        </w:rPr>
        <w:t xml:space="preserve">This can occur, even though, as was the case, </w:t>
      </w:r>
      <w:r w:rsidR="004918A7" w:rsidRPr="00CB1460">
        <w:rPr>
          <w:rFonts w:asciiTheme="minorHAnsi" w:hAnsiTheme="minorHAnsi"/>
        </w:rPr>
        <w:t>central bank</w:t>
      </w:r>
      <w:r w:rsidR="00EB2602">
        <w:rPr>
          <w:rFonts w:asciiTheme="minorHAnsi" w:hAnsiTheme="minorHAnsi"/>
        </w:rPr>
        <w:t xml:space="preserve"> set</w:t>
      </w:r>
      <w:r w:rsidR="002A37E1">
        <w:rPr>
          <w:rFonts w:asciiTheme="minorHAnsi" w:hAnsiTheme="minorHAnsi"/>
        </w:rPr>
        <w:t xml:space="preserve"> interest rates close to zero. S</w:t>
      </w:r>
      <w:r w:rsidR="004918A7" w:rsidRPr="00CB1460">
        <w:rPr>
          <w:rFonts w:asciiTheme="minorHAnsi" w:hAnsiTheme="minorHAnsi"/>
        </w:rPr>
        <w:t xml:space="preserve">uch drastic policies were </w:t>
      </w:r>
      <w:r w:rsidR="002A37E1">
        <w:rPr>
          <w:rFonts w:asciiTheme="minorHAnsi" w:hAnsiTheme="minorHAnsi"/>
        </w:rPr>
        <w:t xml:space="preserve">arguably </w:t>
      </w:r>
      <w:r w:rsidR="004918A7" w:rsidRPr="00CB1460">
        <w:rPr>
          <w:rFonts w:asciiTheme="minorHAnsi" w:hAnsiTheme="minorHAnsi"/>
        </w:rPr>
        <w:t xml:space="preserve">taken as signs that things were even worse than generally believed and that this was no time to rehire on the assumption that demand for one’s products was about to pick up. </w:t>
      </w:r>
    </w:p>
    <w:p w14:paraId="058E8471" w14:textId="77777777" w:rsidR="00DD3FE9" w:rsidRPr="00CB1460" w:rsidRDefault="00DD3FE9" w:rsidP="00DD3FE9">
      <w:pPr>
        <w:jc w:val="both"/>
        <w:rPr>
          <w:rFonts w:asciiTheme="minorHAnsi" w:hAnsiTheme="minorHAnsi"/>
        </w:rPr>
      </w:pPr>
    </w:p>
    <w:p w14:paraId="51984134" w14:textId="77777777" w:rsidR="004A6D45" w:rsidRPr="004A6D45" w:rsidRDefault="004A6D45" w:rsidP="004A6D45">
      <w:pPr>
        <w:jc w:val="both"/>
        <w:rPr>
          <w:rFonts w:asciiTheme="minorHAnsi" w:hAnsiTheme="minorHAnsi"/>
          <w:b/>
        </w:rPr>
      </w:pPr>
      <w:r w:rsidRPr="004A6D45">
        <w:rPr>
          <w:rFonts w:asciiTheme="minorHAnsi" w:hAnsiTheme="minorHAnsi"/>
          <w:b/>
        </w:rPr>
        <w:t xml:space="preserve">Banking Crises and Public Goods </w:t>
      </w:r>
    </w:p>
    <w:p w14:paraId="0DA8D3D4" w14:textId="48B57BA1" w:rsidR="004A6D45" w:rsidRDefault="004A6D45" w:rsidP="004A6D45">
      <w:pPr>
        <w:jc w:val="both"/>
        <w:rPr>
          <w:rFonts w:asciiTheme="minorHAnsi" w:hAnsiTheme="minorHAnsi"/>
        </w:rPr>
      </w:pPr>
      <w:r w:rsidRPr="00CB1460">
        <w:rPr>
          <w:rFonts w:asciiTheme="minorHAnsi" w:hAnsiTheme="minorHAnsi"/>
        </w:rPr>
        <w:t xml:space="preserve">The reason that financial crises are economically so deadly is that the banks are not growing wheat, which can easily be stored or purchased from abroad if there’s a shortage. Banking panics are economically deadly because the banks </w:t>
      </w:r>
      <w:r w:rsidR="00F6325E">
        <w:rPr>
          <w:rFonts w:asciiTheme="minorHAnsi" w:hAnsiTheme="minorHAnsi"/>
        </w:rPr>
        <w:t>are managing</w:t>
      </w:r>
      <w:r w:rsidR="00B601B0">
        <w:rPr>
          <w:rFonts w:asciiTheme="minorHAnsi" w:hAnsiTheme="minorHAnsi"/>
        </w:rPr>
        <w:t>/running/providing</w:t>
      </w:r>
      <w:r w:rsidR="003D6642">
        <w:rPr>
          <w:rFonts w:asciiTheme="minorHAnsi" w:hAnsiTheme="minorHAnsi"/>
        </w:rPr>
        <w:t xml:space="preserve"> </w:t>
      </w:r>
      <w:r w:rsidRPr="00CB1460">
        <w:rPr>
          <w:rFonts w:asciiTheme="minorHAnsi" w:hAnsiTheme="minorHAnsi"/>
        </w:rPr>
        <w:t>a public good</w:t>
      </w:r>
      <w:r w:rsidR="003D6642">
        <w:rPr>
          <w:rFonts w:asciiTheme="minorHAnsi" w:hAnsiTheme="minorHAnsi"/>
        </w:rPr>
        <w:t>, namely</w:t>
      </w:r>
      <w:r w:rsidRPr="00CB1460">
        <w:rPr>
          <w:rFonts w:asciiTheme="minorHAnsi" w:hAnsiTheme="minorHAnsi"/>
        </w:rPr>
        <w:t xml:space="preserve"> the financial marketplace. Banks are intermediaries, i.e., middlemen. They connect lenders with borrowers and savers with investors. If the banks go down, the financial market fails. </w:t>
      </w:r>
      <w:r>
        <w:rPr>
          <w:rFonts w:asciiTheme="minorHAnsi" w:hAnsiTheme="minorHAnsi"/>
        </w:rPr>
        <w:t>This is akin to gas stations simultaneously</w:t>
      </w:r>
      <w:r w:rsidRPr="00CB1460">
        <w:rPr>
          <w:rFonts w:asciiTheme="minorHAnsi" w:hAnsiTheme="minorHAnsi"/>
        </w:rPr>
        <w:t xml:space="preserve"> failing and preventing us from using a different public good – the highway system.</w:t>
      </w:r>
      <w:r w:rsidR="00202F30">
        <w:rPr>
          <w:rStyle w:val="FootnoteReference"/>
          <w:rFonts w:asciiTheme="minorHAnsi" w:hAnsiTheme="minorHAnsi"/>
        </w:rPr>
        <w:footnoteReference w:id="79"/>
      </w:r>
      <w:r w:rsidRPr="00CB1460">
        <w:rPr>
          <w:rFonts w:asciiTheme="minorHAnsi" w:hAnsiTheme="minorHAnsi"/>
        </w:rPr>
        <w:t xml:space="preserve"> </w:t>
      </w:r>
      <w:r w:rsidR="00FE0C51">
        <w:rPr>
          <w:rFonts w:asciiTheme="minorHAnsi" w:hAnsiTheme="minorHAnsi"/>
        </w:rPr>
        <w:t>Moreover, if one gas station had borrowed to gamble from another, the two stations would have interlocking balance sheets meaning the failure of the first could cause the failure of the second.</w:t>
      </w:r>
      <w:r w:rsidR="00A74400">
        <w:rPr>
          <w:rStyle w:val="FootnoteReference"/>
          <w:rFonts w:asciiTheme="minorHAnsi" w:hAnsiTheme="minorHAnsi"/>
        </w:rPr>
        <w:footnoteReference w:id="80"/>
      </w:r>
      <w:r w:rsidR="00FE0C51">
        <w:rPr>
          <w:rFonts w:asciiTheme="minorHAnsi" w:hAnsiTheme="minorHAnsi"/>
        </w:rPr>
        <w:t xml:space="preserve"> </w:t>
      </w:r>
    </w:p>
    <w:p w14:paraId="10C39971" w14:textId="77777777" w:rsidR="001357B2" w:rsidRDefault="001357B2" w:rsidP="004A6D45">
      <w:pPr>
        <w:jc w:val="both"/>
        <w:rPr>
          <w:rFonts w:asciiTheme="minorHAnsi" w:hAnsiTheme="minorHAnsi"/>
        </w:rPr>
      </w:pPr>
    </w:p>
    <w:p w14:paraId="2119A43C" w14:textId="77777777" w:rsidR="00A5436C" w:rsidRDefault="00A5436C" w:rsidP="00A5436C">
      <w:pPr>
        <w:rPr>
          <w:rFonts w:asciiTheme="minorHAnsi" w:hAnsiTheme="minorHAnsi"/>
        </w:rPr>
      </w:pPr>
      <w:r>
        <w:rPr>
          <w:rFonts w:asciiTheme="minorHAnsi" w:hAnsiTheme="minorHAnsi"/>
        </w:rPr>
        <w:t xml:space="preserve">Take, for example, this description, from the Fed, of Bear’s financial-market making prior to its fall. </w:t>
      </w:r>
    </w:p>
    <w:p w14:paraId="75319508" w14:textId="77777777" w:rsidR="00A5436C" w:rsidRDefault="00A5436C" w:rsidP="00A5436C">
      <w:pPr>
        <w:rPr>
          <w:rFonts w:asciiTheme="minorHAnsi" w:hAnsiTheme="minorHAnsi"/>
        </w:rPr>
      </w:pPr>
    </w:p>
    <w:p w14:paraId="59440250" w14:textId="6FBE5E39" w:rsidR="00A5436C" w:rsidRPr="00A5436C" w:rsidRDefault="00A5436C" w:rsidP="00A5436C">
      <w:pPr>
        <w:ind w:left="288" w:right="288"/>
        <w:jc w:val="both"/>
        <w:rPr>
          <w:rFonts w:eastAsia="Times New Roman"/>
          <w:i/>
        </w:rPr>
      </w:pPr>
      <w:r w:rsidRPr="00A5436C">
        <w:rPr>
          <w:rFonts w:ascii="Arial" w:eastAsia="Times New Roman" w:hAnsi="Arial" w:cs="Arial"/>
          <w:i/>
          <w:color w:val="333333"/>
          <w:sz w:val="21"/>
          <w:szCs w:val="21"/>
          <w:shd w:val="clear" w:color="auto" w:fill="FFFFFF"/>
        </w:rPr>
        <w:t>The imminent insolvency of Bear Stearns, the large presence of Bear Stearns in several important financial markets (including, in particular, the markets for repo-style transactions, over-the-counter derivative and foreign exchange transactions, </w:t>
      </w:r>
      <w:hyperlink r:id="rId7" w:anchor="mortgagebackedsecurities" w:tgtFrame="_self" w:history="1">
        <w:r w:rsidRPr="00A5436C">
          <w:rPr>
            <w:rStyle w:val="Hyperlink"/>
            <w:rFonts w:ascii="Arial" w:eastAsia="Times New Roman" w:hAnsi="Arial" w:cs="Arial"/>
            <w:i/>
            <w:color w:val="3A6C9C"/>
            <w:sz w:val="21"/>
            <w:szCs w:val="21"/>
            <w:shd w:val="clear" w:color="auto" w:fill="FFFFFF"/>
          </w:rPr>
          <w:t>mortgage-backed securities</w:t>
        </w:r>
      </w:hyperlink>
      <w:r w:rsidRPr="00A5436C">
        <w:rPr>
          <w:rFonts w:ascii="Arial" w:eastAsia="Times New Roman" w:hAnsi="Arial" w:cs="Arial"/>
          <w:i/>
          <w:color w:val="333333"/>
          <w:sz w:val="21"/>
          <w:szCs w:val="21"/>
          <w:shd w:val="clear" w:color="auto" w:fill="FFFFFF"/>
        </w:rPr>
        <w:t>, and securities clearing services), and the potential for contagion to similarly situated firms raised significant concern that the stability of financial markets would be seriously disrupted if Bear Stearns were suddenly unable to meet its obligations to counterparties, and the extension of credit allowed for an orderly resolution of the firm.</w:t>
      </w:r>
    </w:p>
    <w:p w14:paraId="20D31441" w14:textId="77777777" w:rsidR="004A6D45" w:rsidRDefault="004A6D45" w:rsidP="004A6D45">
      <w:pPr>
        <w:jc w:val="both"/>
        <w:rPr>
          <w:rFonts w:asciiTheme="minorHAnsi" w:hAnsiTheme="minorHAnsi"/>
        </w:rPr>
      </w:pPr>
    </w:p>
    <w:p w14:paraId="40BC3176" w14:textId="6F3C7446" w:rsidR="00E31080" w:rsidRDefault="00E31080" w:rsidP="006E3A7A">
      <w:pPr>
        <w:jc w:val="both"/>
        <w:rPr>
          <w:rFonts w:asciiTheme="minorHAnsi" w:hAnsiTheme="minorHAnsi"/>
        </w:rPr>
      </w:pPr>
      <w:r w:rsidRPr="00CB1460">
        <w:rPr>
          <w:rFonts w:asciiTheme="minorHAnsi" w:hAnsiTheme="minorHAnsi"/>
        </w:rPr>
        <w:t>In the GR,</w:t>
      </w:r>
      <w:r w:rsidR="004831E1" w:rsidRPr="00CB1460">
        <w:rPr>
          <w:rFonts w:asciiTheme="minorHAnsi" w:hAnsiTheme="minorHAnsi"/>
        </w:rPr>
        <w:t xml:space="preserve"> the financial system</w:t>
      </w:r>
      <w:r w:rsidRPr="00CB1460">
        <w:rPr>
          <w:rFonts w:asciiTheme="minorHAnsi" w:hAnsiTheme="minorHAnsi"/>
        </w:rPr>
        <w:t xml:space="preserve"> froze. </w:t>
      </w:r>
      <w:r w:rsidR="00262493">
        <w:rPr>
          <w:rFonts w:asciiTheme="minorHAnsi" w:hAnsiTheme="minorHAnsi"/>
        </w:rPr>
        <w:t>After Lehman, e</w:t>
      </w:r>
      <w:r w:rsidRPr="00CB1460">
        <w:rPr>
          <w:rFonts w:asciiTheme="minorHAnsi" w:hAnsiTheme="minorHAnsi"/>
        </w:rPr>
        <w:t>very</w:t>
      </w:r>
      <w:r w:rsidR="00C23DF6" w:rsidRPr="00CB1460">
        <w:rPr>
          <w:rFonts w:asciiTheme="minorHAnsi" w:hAnsiTheme="minorHAnsi"/>
        </w:rPr>
        <w:t xml:space="preserve"> remaining</w:t>
      </w:r>
      <w:r w:rsidRPr="00CB1460">
        <w:rPr>
          <w:rFonts w:asciiTheme="minorHAnsi" w:hAnsiTheme="minorHAnsi"/>
        </w:rPr>
        <w:t xml:space="preserve"> major bank and tho</w:t>
      </w:r>
      <w:r w:rsidR="004831E1" w:rsidRPr="00CB1460">
        <w:rPr>
          <w:rFonts w:asciiTheme="minorHAnsi" w:hAnsiTheme="minorHAnsi"/>
        </w:rPr>
        <w:t>usands of minor banks would</w:t>
      </w:r>
      <w:r w:rsidRPr="00CB1460">
        <w:rPr>
          <w:rFonts w:asciiTheme="minorHAnsi" w:hAnsiTheme="minorHAnsi"/>
        </w:rPr>
        <w:t xml:space="preserve"> </w:t>
      </w:r>
      <w:r w:rsidR="007668A4" w:rsidRPr="00CB1460">
        <w:rPr>
          <w:rFonts w:asciiTheme="minorHAnsi" w:hAnsiTheme="minorHAnsi"/>
        </w:rPr>
        <w:t xml:space="preserve">likely have </w:t>
      </w:r>
      <w:r w:rsidRPr="00CB1460">
        <w:rPr>
          <w:rFonts w:asciiTheme="minorHAnsi" w:hAnsiTheme="minorHAnsi"/>
        </w:rPr>
        <w:t>failed had the</w:t>
      </w:r>
      <w:r w:rsidR="00C23DF6" w:rsidRPr="00CB1460">
        <w:rPr>
          <w:rFonts w:asciiTheme="minorHAnsi" w:hAnsiTheme="minorHAnsi"/>
        </w:rPr>
        <w:t xml:space="preserve"> government not intervened in the</w:t>
      </w:r>
      <w:r w:rsidRPr="00CB1460">
        <w:rPr>
          <w:rFonts w:asciiTheme="minorHAnsi" w:hAnsiTheme="minorHAnsi"/>
        </w:rPr>
        <w:t xml:space="preserve"> </w:t>
      </w:r>
      <w:r w:rsidR="00C23DF6" w:rsidRPr="00CB1460">
        <w:rPr>
          <w:rFonts w:asciiTheme="minorHAnsi" w:hAnsiTheme="minorHAnsi"/>
        </w:rPr>
        <w:t xml:space="preserve">truly </w:t>
      </w:r>
      <w:r w:rsidRPr="00CB1460">
        <w:rPr>
          <w:rFonts w:asciiTheme="minorHAnsi" w:hAnsiTheme="minorHAnsi"/>
        </w:rPr>
        <w:t>unprecedented fashion</w:t>
      </w:r>
      <w:r w:rsidR="00C23DF6" w:rsidRPr="00CB1460">
        <w:rPr>
          <w:rFonts w:asciiTheme="minorHAnsi" w:hAnsiTheme="minorHAnsi"/>
        </w:rPr>
        <w:t xml:space="preserve"> in which it did</w:t>
      </w:r>
      <w:r w:rsidRPr="00CB1460">
        <w:rPr>
          <w:rFonts w:asciiTheme="minorHAnsi" w:hAnsiTheme="minorHAnsi"/>
        </w:rPr>
        <w:t xml:space="preserve">. </w:t>
      </w:r>
      <w:r w:rsidR="004A159B" w:rsidRPr="00CB1460">
        <w:rPr>
          <w:rFonts w:asciiTheme="minorHAnsi" w:hAnsiTheme="minorHAnsi"/>
        </w:rPr>
        <w:t>The government, in this case, was</w:t>
      </w:r>
      <w:r w:rsidR="004831E1" w:rsidRPr="00CB1460">
        <w:rPr>
          <w:rFonts w:asciiTheme="minorHAnsi" w:hAnsiTheme="minorHAnsi"/>
        </w:rPr>
        <w:t xml:space="preserve"> primarily</w:t>
      </w:r>
      <w:r w:rsidR="004A159B" w:rsidRPr="00CB1460">
        <w:rPr>
          <w:rFonts w:asciiTheme="minorHAnsi" w:hAnsiTheme="minorHAnsi"/>
        </w:rPr>
        <w:t xml:space="preserve"> the Federal Reserve. It became, for all intents and purposes, the </w:t>
      </w:r>
      <w:r w:rsidR="00231D8E" w:rsidRPr="00CB1460">
        <w:rPr>
          <w:rFonts w:asciiTheme="minorHAnsi" w:hAnsiTheme="minorHAnsi"/>
        </w:rPr>
        <w:t xml:space="preserve">only fully </w:t>
      </w:r>
      <w:r w:rsidR="00DD0FA2">
        <w:rPr>
          <w:rFonts w:asciiTheme="minorHAnsi" w:hAnsiTheme="minorHAnsi"/>
        </w:rPr>
        <w:t xml:space="preserve">functional bank in the country, </w:t>
      </w:r>
      <w:r w:rsidR="00231D8E" w:rsidRPr="00CB1460">
        <w:rPr>
          <w:rFonts w:asciiTheme="minorHAnsi" w:hAnsiTheme="minorHAnsi"/>
        </w:rPr>
        <w:t xml:space="preserve">making loans </w:t>
      </w:r>
      <w:r w:rsidR="0088485D" w:rsidRPr="00CB1460">
        <w:rPr>
          <w:rFonts w:asciiTheme="minorHAnsi" w:hAnsiTheme="minorHAnsi"/>
        </w:rPr>
        <w:t xml:space="preserve">to all </w:t>
      </w:r>
      <w:r w:rsidR="00394E1C" w:rsidRPr="00CB1460">
        <w:rPr>
          <w:rFonts w:asciiTheme="minorHAnsi" w:hAnsiTheme="minorHAnsi"/>
        </w:rPr>
        <w:t>manner</w:t>
      </w:r>
      <w:r w:rsidR="0088485D" w:rsidRPr="00CB1460">
        <w:rPr>
          <w:rFonts w:asciiTheme="minorHAnsi" w:hAnsiTheme="minorHAnsi"/>
        </w:rPr>
        <w:t xml:space="preserve"> of financial and non-financial enterprises, from the largest surviving banks to companies selling mobile home</w:t>
      </w:r>
      <w:r w:rsidR="00C23DF6" w:rsidRPr="00CB1460">
        <w:rPr>
          <w:rFonts w:asciiTheme="minorHAnsi" w:hAnsiTheme="minorHAnsi"/>
        </w:rPr>
        <w:t>s</w:t>
      </w:r>
      <w:r w:rsidR="0088485D" w:rsidRPr="00CB1460">
        <w:rPr>
          <w:rFonts w:asciiTheme="minorHAnsi" w:hAnsiTheme="minorHAnsi"/>
        </w:rPr>
        <w:t xml:space="preserve">. </w:t>
      </w:r>
      <w:r w:rsidR="00DD0FA2">
        <w:rPr>
          <w:rFonts w:asciiTheme="minorHAnsi" w:hAnsiTheme="minorHAnsi"/>
        </w:rPr>
        <w:t>The Fed also bailed out, directly or indirectly (throug</w:t>
      </w:r>
      <w:r w:rsidR="00262493">
        <w:rPr>
          <w:rFonts w:asciiTheme="minorHAnsi" w:hAnsiTheme="minorHAnsi"/>
        </w:rPr>
        <w:t>h other central banks),</w:t>
      </w:r>
      <w:r w:rsidR="00DD0FA2">
        <w:rPr>
          <w:rFonts w:asciiTheme="minorHAnsi" w:hAnsiTheme="minorHAnsi"/>
        </w:rPr>
        <w:t xml:space="preserve"> foreign financial </w:t>
      </w:r>
      <w:r w:rsidR="00262493">
        <w:rPr>
          <w:rFonts w:asciiTheme="minorHAnsi" w:hAnsiTheme="minorHAnsi"/>
        </w:rPr>
        <w:t xml:space="preserve">entities. </w:t>
      </w:r>
    </w:p>
    <w:p w14:paraId="67422330" w14:textId="77777777" w:rsidR="00C23DF6" w:rsidRPr="00CB1460" w:rsidRDefault="00C23DF6" w:rsidP="006E3A7A">
      <w:pPr>
        <w:jc w:val="both"/>
        <w:rPr>
          <w:rFonts w:asciiTheme="minorHAnsi" w:hAnsiTheme="minorHAnsi"/>
        </w:rPr>
      </w:pPr>
    </w:p>
    <w:p w14:paraId="4E9132F0" w14:textId="699A9A25" w:rsidR="003F547C" w:rsidRPr="00CB1460" w:rsidRDefault="003F547C" w:rsidP="006E3A7A">
      <w:pPr>
        <w:jc w:val="both"/>
        <w:rPr>
          <w:rFonts w:asciiTheme="minorHAnsi" w:hAnsiTheme="minorHAnsi"/>
          <w:b/>
        </w:rPr>
      </w:pPr>
      <w:r w:rsidRPr="00CB1460">
        <w:rPr>
          <w:rFonts w:asciiTheme="minorHAnsi" w:hAnsiTheme="minorHAnsi"/>
          <w:b/>
        </w:rPr>
        <w:t>Unsafe at Any Speed</w:t>
      </w:r>
    </w:p>
    <w:p w14:paraId="575CF034" w14:textId="1038BABF" w:rsidR="00EC788D" w:rsidRPr="00CB1460" w:rsidRDefault="003F547C" w:rsidP="006E3A7A">
      <w:pPr>
        <w:jc w:val="both"/>
        <w:rPr>
          <w:rFonts w:asciiTheme="minorHAnsi" w:hAnsiTheme="minorHAnsi"/>
        </w:rPr>
      </w:pPr>
      <w:r w:rsidRPr="00CB1460">
        <w:rPr>
          <w:rFonts w:asciiTheme="minorHAnsi" w:hAnsiTheme="minorHAnsi"/>
        </w:rPr>
        <w:t xml:space="preserve">The banks failed because they could. And they could </w:t>
      </w:r>
      <w:r w:rsidR="00C23DF6" w:rsidRPr="00CB1460">
        <w:rPr>
          <w:rFonts w:asciiTheme="minorHAnsi" w:hAnsiTheme="minorHAnsi"/>
        </w:rPr>
        <w:t xml:space="preserve">fail </w:t>
      </w:r>
      <w:r w:rsidRPr="00CB1460">
        <w:rPr>
          <w:rFonts w:asciiTheme="minorHAnsi" w:hAnsiTheme="minorHAnsi"/>
        </w:rPr>
        <w:t>becau</w:t>
      </w:r>
      <w:r w:rsidR="00C23DF6" w:rsidRPr="00CB1460">
        <w:rPr>
          <w:rFonts w:asciiTheme="minorHAnsi" w:hAnsiTheme="minorHAnsi"/>
        </w:rPr>
        <w:t>se they were leveraged. They</w:t>
      </w:r>
      <w:r w:rsidRPr="00CB1460">
        <w:rPr>
          <w:rFonts w:asciiTheme="minorHAnsi" w:hAnsiTheme="minorHAnsi"/>
        </w:rPr>
        <w:t xml:space="preserve"> </w:t>
      </w:r>
      <w:r w:rsidR="00046E47">
        <w:rPr>
          <w:rFonts w:asciiTheme="minorHAnsi" w:hAnsiTheme="minorHAnsi"/>
        </w:rPr>
        <w:t xml:space="preserve">falsely </w:t>
      </w:r>
      <w:r w:rsidR="00C23DF6" w:rsidRPr="00CB1460">
        <w:rPr>
          <w:rFonts w:asciiTheme="minorHAnsi" w:hAnsiTheme="minorHAnsi"/>
        </w:rPr>
        <w:t xml:space="preserve">promised to make </w:t>
      </w:r>
      <w:r w:rsidR="00F8227A">
        <w:rPr>
          <w:rFonts w:asciiTheme="minorHAnsi" w:hAnsiTheme="minorHAnsi"/>
        </w:rPr>
        <w:t>re</w:t>
      </w:r>
      <w:r w:rsidR="00C23DF6" w:rsidRPr="00CB1460">
        <w:rPr>
          <w:rFonts w:asciiTheme="minorHAnsi" w:hAnsiTheme="minorHAnsi"/>
        </w:rPr>
        <w:t>payments</w:t>
      </w:r>
      <w:r w:rsidR="00A65BF1">
        <w:rPr>
          <w:rFonts w:asciiTheme="minorHAnsi" w:hAnsiTheme="minorHAnsi"/>
        </w:rPr>
        <w:t xml:space="preserve"> regardless of</w:t>
      </w:r>
      <w:r w:rsidRPr="00CB1460">
        <w:rPr>
          <w:rFonts w:asciiTheme="minorHAnsi" w:hAnsiTheme="minorHAnsi"/>
        </w:rPr>
        <w:t xml:space="preserve"> </w:t>
      </w:r>
      <w:r w:rsidR="00F8227A">
        <w:rPr>
          <w:rFonts w:asciiTheme="minorHAnsi" w:hAnsiTheme="minorHAnsi"/>
        </w:rPr>
        <w:t xml:space="preserve">the </w:t>
      </w:r>
      <w:r w:rsidRPr="00CB1460">
        <w:rPr>
          <w:rFonts w:asciiTheme="minorHAnsi" w:hAnsiTheme="minorHAnsi"/>
        </w:rPr>
        <w:t>circumstances</w:t>
      </w:r>
      <w:r w:rsidR="00C23DF6" w:rsidRPr="00CB1460">
        <w:rPr>
          <w:rFonts w:asciiTheme="minorHAnsi" w:hAnsiTheme="minorHAnsi"/>
        </w:rPr>
        <w:t xml:space="preserve">. </w:t>
      </w:r>
      <w:r w:rsidRPr="00CB1460">
        <w:rPr>
          <w:rFonts w:asciiTheme="minorHAnsi" w:hAnsiTheme="minorHAnsi"/>
        </w:rPr>
        <w:t xml:space="preserve">The </w:t>
      </w:r>
      <w:r w:rsidR="00C23DF6" w:rsidRPr="00CB1460">
        <w:rPr>
          <w:rFonts w:asciiTheme="minorHAnsi" w:hAnsiTheme="minorHAnsi"/>
        </w:rPr>
        <w:t xml:space="preserve">Federal Reserve is </w:t>
      </w:r>
      <w:r w:rsidRPr="00CB1460">
        <w:rPr>
          <w:rFonts w:asciiTheme="minorHAnsi" w:hAnsiTheme="minorHAnsi"/>
        </w:rPr>
        <w:lastRenderedPageBreak/>
        <w:t xml:space="preserve">also leveraged. </w:t>
      </w:r>
      <w:r w:rsidR="00017101">
        <w:rPr>
          <w:rFonts w:asciiTheme="minorHAnsi" w:hAnsiTheme="minorHAnsi"/>
        </w:rPr>
        <w:t>In</w:t>
      </w:r>
      <w:r w:rsidR="00C23DF6" w:rsidRPr="00CB1460">
        <w:rPr>
          <w:rFonts w:asciiTheme="minorHAnsi" w:hAnsiTheme="minorHAnsi"/>
        </w:rPr>
        <w:t xml:space="preserve"> the aftermath of Lehman’s collapse, the Fed </w:t>
      </w:r>
      <w:r w:rsidR="004823E9" w:rsidRPr="00CB1460">
        <w:rPr>
          <w:rFonts w:asciiTheme="minorHAnsi" w:hAnsiTheme="minorHAnsi"/>
        </w:rPr>
        <w:t xml:space="preserve">effectively </w:t>
      </w:r>
      <w:r w:rsidRPr="00CB1460">
        <w:rPr>
          <w:rFonts w:asciiTheme="minorHAnsi" w:hAnsiTheme="minorHAnsi"/>
        </w:rPr>
        <w:t>insure</w:t>
      </w:r>
      <w:r w:rsidR="00C23DF6" w:rsidRPr="00CB1460">
        <w:rPr>
          <w:rFonts w:asciiTheme="minorHAnsi" w:hAnsiTheme="minorHAnsi"/>
        </w:rPr>
        <w:t>d</w:t>
      </w:r>
      <w:r w:rsidR="00375D5A">
        <w:rPr>
          <w:rFonts w:asciiTheme="minorHAnsi" w:hAnsiTheme="minorHAnsi"/>
        </w:rPr>
        <w:t xml:space="preserve"> not just</w:t>
      </w:r>
      <w:r w:rsidRPr="00CB1460">
        <w:rPr>
          <w:rFonts w:asciiTheme="minorHAnsi" w:hAnsiTheme="minorHAnsi"/>
        </w:rPr>
        <w:t xml:space="preserve"> checking and saving accounts, but also money market funds. These obligations</w:t>
      </w:r>
      <w:r w:rsidR="00C23DF6" w:rsidRPr="00CB1460">
        <w:rPr>
          <w:rFonts w:asciiTheme="minorHAnsi" w:hAnsiTheme="minorHAnsi"/>
        </w:rPr>
        <w:t xml:space="preserve"> </w:t>
      </w:r>
      <w:r w:rsidR="00EC1F80">
        <w:rPr>
          <w:rFonts w:asciiTheme="minorHAnsi" w:hAnsiTheme="minorHAnsi"/>
        </w:rPr>
        <w:t>were officially and, respectively, FDIC and</w:t>
      </w:r>
      <w:r w:rsidR="004823E9" w:rsidRPr="00CB1460">
        <w:rPr>
          <w:rFonts w:asciiTheme="minorHAnsi" w:hAnsiTheme="minorHAnsi"/>
        </w:rPr>
        <w:t xml:space="preserve"> Treasury obligations</w:t>
      </w:r>
      <w:r w:rsidR="00C23DF6" w:rsidRPr="00CB1460">
        <w:rPr>
          <w:rFonts w:asciiTheme="minorHAnsi" w:hAnsiTheme="minorHAnsi"/>
        </w:rPr>
        <w:t xml:space="preserve">. They </w:t>
      </w:r>
      <w:r w:rsidRPr="00CB1460">
        <w:rPr>
          <w:rFonts w:asciiTheme="minorHAnsi" w:hAnsiTheme="minorHAnsi"/>
        </w:rPr>
        <w:t>ran to some $6 trillion.</w:t>
      </w:r>
      <w:r w:rsidR="00EC1F80">
        <w:rPr>
          <w:rStyle w:val="FootnoteReference"/>
          <w:rFonts w:asciiTheme="minorHAnsi" w:hAnsiTheme="minorHAnsi"/>
        </w:rPr>
        <w:footnoteReference w:id="81"/>
      </w:r>
      <w:r w:rsidRPr="00CB1460">
        <w:rPr>
          <w:rFonts w:asciiTheme="minorHAnsi" w:hAnsiTheme="minorHAnsi"/>
        </w:rPr>
        <w:t xml:space="preserve"> </w:t>
      </w:r>
      <w:r w:rsidR="00017101">
        <w:rPr>
          <w:rFonts w:asciiTheme="minorHAnsi" w:hAnsiTheme="minorHAnsi"/>
        </w:rPr>
        <w:t>But</w:t>
      </w:r>
      <w:r w:rsidR="00366744">
        <w:rPr>
          <w:rFonts w:asciiTheme="minorHAnsi" w:hAnsiTheme="minorHAnsi"/>
        </w:rPr>
        <w:t xml:space="preserve"> neither institution</w:t>
      </w:r>
      <w:r w:rsidR="00080B06">
        <w:rPr>
          <w:rFonts w:asciiTheme="minorHAnsi" w:hAnsiTheme="minorHAnsi"/>
        </w:rPr>
        <w:t xml:space="preserve"> had $6 trillion in ready cash to make good on its insurance. Hence, the Fed would have been on the hook. Indeed,</w:t>
      </w:r>
      <w:r w:rsidR="00017101">
        <w:rPr>
          <w:rFonts w:asciiTheme="minorHAnsi" w:hAnsiTheme="minorHAnsi"/>
        </w:rPr>
        <w:t xml:space="preserve"> had things got</w:t>
      </w:r>
      <w:r w:rsidR="00080B06">
        <w:rPr>
          <w:rFonts w:asciiTheme="minorHAnsi" w:hAnsiTheme="minorHAnsi"/>
        </w:rPr>
        <w:t>ten</w:t>
      </w:r>
      <w:r w:rsidR="00017101">
        <w:rPr>
          <w:rFonts w:asciiTheme="minorHAnsi" w:hAnsiTheme="minorHAnsi"/>
        </w:rPr>
        <w:t xml:space="preserve"> worse, there would surely have </w:t>
      </w:r>
      <w:r w:rsidR="00C23DF6" w:rsidRPr="00CB1460">
        <w:rPr>
          <w:rFonts w:asciiTheme="minorHAnsi" w:hAnsiTheme="minorHAnsi"/>
        </w:rPr>
        <w:t>been a</w:t>
      </w:r>
      <w:r w:rsidRPr="00CB1460">
        <w:rPr>
          <w:rFonts w:asciiTheme="minorHAnsi" w:hAnsiTheme="minorHAnsi"/>
        </w:rPr>
        <w:t xml:space="preserve"> run on the </w:t>
      </w:r>
      <w:r w:rsidR="00080B06">
        <w:rPr>
          <w:rFonts w:asciiTheme="minorHAnsi" w:hAnsiTheme="minorHAnsi"/>
        </w:rPr>
        <w:t xml:space="preserve">life </w:t>
      </w:r>
      <w:r w:rsidR="00841B8E">
        <w:rPr>
          <w:rFonts w:asciiTheme="minorHAnsi" w:hAnsiTheme="minorHAnsi"/>
        </w:rPr>
        <w:t>insurance industry’s cash-</w:t>
      </w:r>
      <w:r w:rsidRPr="00CB1460">
        <w:rPr>
          <w:rFonts w:asciiTheme="minorHAnsi" w:hAnsiTheme="minorHAnsi"/>
        </w:rPr>
        <w:t xml:space="preserve">surrender </w:t>
      </w:r>
      <w:r w:rsidR="00841B8E">
        <w:rPr>
          <w:rFonts w:asciiTheme="minorHAnsi" w:hAnsiTheme="minorHAnsi"/>
        </w:rPr>
        <w:t xml:space="preserve">value </w:t>
      </w:r>
      <w:r w:rsidRPr="00CB1460">
        <w:rPr>
          <w:rFonts w:asciiTheme="minorHAnsi" w:hAnsiTheme="minorHAnsi"/>
        </w:rPr>
        <w:t xml:space="preserve">policies, </w:t>
      </w:r>
      <w:r w:rsidR="00C23DF6" w:rsidRPr="00CB1460">
        <w:rPr>
          <w:rFonts w:asciiTheme="minorHAnsi" w:hAnsiTheme="minorHAnsi"/>
        </w:rPr>
        <w:t xml:space="preserve">which, at the time, </w:t>
      </w:r>
      <w:r w:rsidR="008A00BC">
        <w:rPr>
          <w:rFonts w:asciiTheme="minorHAnsi" w:hAnsiTheme="minorHAnsi"/>
        </w:rPr>
        <w:t>also totaled roughly</w:t>
      </w:r>
      <w:r w:rsidR="00C23DF6" w:rsidRPr="00CB1460">
        <w:rPr>
          <w:rFonts w:asciiTheme="minorHAnsi" w:hAnsiTheme="minorHAnsi"/>
        </w:rPr>
        <w:t xml:space="preserve"> $6 trillion</w:t>
      </w:r>
      <w:r w:rsidR="00017101">
        <w:rPr>
          <w:rFonts w:asciiTheme="minorHAnsi" w:hAnsiTheme="minorHAnsi"/>
        </w:rPr>
        <w:t>.</w:t>
      </w:r>
      <w:r w:rsidR="006D1963">
        <w:rPr>
          <w:rStyle w:val="FootnoteReference"/>
          <w:rFonts w:asciiTheme="minorHAnsi" w:hAnsiTheme="minorHAnsi"/>
        </w:rPr>
        <w:footnoteReference w:id="82"/>
      </w:r>
      <w:r w:rsidR="00017101">
        <w:rPr>
          <w:rFonts w:asciiTheme="minorHAnsi" w:hAnsiTheme="minorHAnsi"/>
        </w:rPr>
        <w:t xml:space="preserve"> </w:t>
      </w:r>
    </w:p>
    <w:p w14:paraId="489BAAEC" w14:textId="77777777" w:rsidR="00EC788D" w:rsidRPr="00CB1460" w:rsidRDefault="00EC788D" w:rsidP="006E3A7A">
      <w:pPr>
        <w:jc w:val="both"/>
        <w:rPr>
          <w:rFonts w:asciiTheme="minorHAnsi" w:hAnsiTheme="minorHAnsi"/>
        </w:rPr>
      </w:pPr>
    </w:p>
    <w:p w14:paraId="041B7B9F" w14:textId="09796A0C" w:rsidR="00424DDE" w:rsidRPr="00CB1460" w:rsidRDefault="003F547C" w:rsidP="006E3A7A">
      <w:pPr>
        <w:jc w:val="both"/>
        <w:rPr>
          <w:rFonts w:asciiTheme="minorHAnsi" w:hAnsiTheme="minorHAnsi"/>
        </w:rPr>
      </w:pPr>
      <w:r w:rsidRPr="00CB1460">
        <w:rPr>
          <w:rFonts w:asciiTheme="minorHAnsi" w:hAnsiTheme="minorHAnsi"/>
        </w:rPr>
        <w:t>No</w:t>
      </w:r>
      <w:r w:rsidR="00080B06">
        <w:rPr>
          <w:rFonts w:asciiTheme="minorHAnsi" w:hAnsiTheme="minorHAnsi"/>
        </w:rPr>
        <w:t>w imagine, as discussed in Kotlikoff (</w:t>
      </w:r>
      <w:r w:rsidRPr="00CB1460">
        <w:rPr>
          <w:rFonts w:asciiTheme="minorHAnsi" w:hAnsiTheme="minorHAnsi"/>
        </w:rPr>
        <w:t>2010</w:t>
      </w:r>
      <w:r w:rsidR="00080B06">
        <w:rPr>
          <w:rFonts w:asciiTheme="minorHAnsi" w:hAnsiTheme="minorHAnsi"/>
        </w:rPr>
        <w:t>),</w:t>
      </w:r>
      <w:r w:rsidRPr="00CB1460">
        <w:rPr>
          <w:rFonts w:asciiTheme="minorHAnsi" w:hAnsiTheme="minorHAnsi"/>
        </w:rPr>
        <w:t xml:space="preserve"> that the government’s explicit and implicit pledge</w:t>
      </w:r>
      <w:r w:rsidR="00EC788D" w:rsidRPr="00CB1460">
        <w:rPr>
          <w:rFonts w:asciiTheme="minorHAnsi" w:hAnsiTheme="minorHAnsi"/>
        </w:rPr>
        <w:t>s</w:t>
      </w:r>
      <w:r w:rsidRPr="00CB1460">
        <w:rPr>
          <w:rFonts w:asciiTheme="minorHAnsi" w:hAnsiTheme="minorHAnsi"/>
        </w:rPr>
        <w:t xml:space="preserve"> of insurance had been called by the public. </w:t>
      </w:r>
      <w:r w:rsidR="00BF6254" w:rsidRPr="00CB1460">
        <w:rPr>
          <w:rFonts w:asciiTheme="minorHAnsi" w:hAnsiTheme="minorHAnsi"/>
        </w:rPr>
        <w:t xml:space="preserve">I.e., suppose the public had, despite the promises of </w:t>
      </w:r>
      <w:r w:rsidR="00E356BF" w:rsidRPr="00CB1460">
        <w:rPr>
          <w:rFonts w:asciiTheme="minorHAnsi" w:hAnsiTheme="minorHAnsi"/>
        </w:rPr>
        <w:t xml:space="preserve">government </w:t>
      </w:r>
      <w:r w:rsidR="00BF6254" w:rsidRPr="00CB1460">
        <w:rPr>
          <w:rFonts w:asciiTheme="minorHAnsi" w:hAnsiTheme="minorHAnsi"/>
        </w:rPr>
        <w:t>insurance, headed straight to the banks, money market funds, and insurance companies</w:t>
      </w:r>
      <w:r w:rsidR="00C23DF6" w:rsidRPr="00CB1460">
        <w:rPr>
          <w:rFonts w:asciiTheme="minorHAnsi" w:hAnsiTheme="minorHAnsi"/>
        </w:rPr>
        <w:t xml:space="preserve"> to emp</w:t>
      </w:r>
      <w:r w:rsidR="00A00329">
        <w:rPr>
          <w:rFonts w:asciiTheme="minorHAnsi" w:hAnsiTheme="minorHAnsi"/>
        </w:rPr>
        <w:t>ty out their a</w:t>
      </w:r>
      <w:r w:rsidR="00841B8E">
        <w:rPr>
          <w:rFonts w:asciiTheme="minorHAnsi" w:hAnsiTheme="minorHAnsi"/>
        </w:rPr>
        <w:t>ccounts and cash out their cash-</w:t>
      </w:r>
      <w:r w:rsidR="00BF6254" w:rsidRPr="00CB1460">
        <w:rPr>
          <w:rFonts w:asciiTheme="minorHAnsi" w:hAnsiTheme="minorHAnsi"/>
        </w:rPr>
        <w:t>surr</w:t>
      </w:r>
      <w:r w:rsidR="00A00329">
        <w:rPr>
          <w:rFonts w:asciiTheme="minorHAnsi" w:hAnsiTheme="minorHAnsi"/>
        </w:rPr>
        <w:t>ender</w:t>
      </w:r>
      <w:r w:rsidR="00BF6254" w:rsidRPr="00CB1460">
        <w:rPr>
          <w:rFonts w:asciiTheme="minorHAnsi" w:hAnsiTheme="minorHAnsi"/>
        </w:rPr>
        <w:t xml:space="preserve"> </w:t>
      </w:r>
      <w:r w:rsidR="00080B06">
        <w:rPr>
          <w:rFonts w:asciiTheme="minorHAnsi" w:hAnsiTheme="minorHAnsi"/>
        </w:rPr>
        <w:t xml:space="preserve">value </w:t>
      </w:r>
      <w:r w:rsidR="00BF6254" w:rsidRPr="00CB1460">
        <w:rPr>
          <w:rFonts w:asciiTheme="minorHAnsi" w:hAnsiTheme="minorHAnsi"/>
        </w:rPr>
        <w:t xml:space="preserve">policies. </w:t>
      </w:r>
      <w:r w:rsidR="007644BD">
        <w:rPr>
          <w:rFonts w:asciiTheme="minorHAnsi" w:hAnsiTheme="minorHAnsi"/>
        </w:rPr>
        <w:t>In this case, the Fed</w:t>
      </w:r>
      <w:r w:rsidRPr="00CB1460">
        <w:rPr>
          <w:rFonts w:asciiTheme="minorHAnsi" w:hAnsiTheme="minorHAnsi"/>
        </w:rPr>
        <w:t xml:space="preserve"> would have had to print $12 tr</w:t>
      </w:r>
      <w:r w:rsidR="007644BD">
        <w:rPr>
          <w:rFonts w:asciiTheme="minorHAnsi" w:hAnsiTheme="minorHAnsi"/>
        </w:rPr>
        <w:t>illion virtually overnight. The M1 money supply at the time was just $1</w:t>
      </w:r>
      <w:r w:rsidR="009E1E9A">
        <w:rPr>
          <w:rFonts w:asciiTheme="minorHAnsi" w:hAnsiTheme="minorHAnsi"/>
        </w:rPr>
        <w:t>.5</w:t>
      </w:r>
      <w:r w:rsidR="007644BD">
        <w:rPr>
          <w:rFonts w:asciiTheme="minorHAnsi" w:hAnsiTheme="minorHAnsi"/>
        </w:rPr>
        <w:t xml:space="preserve"> trillion.</w:t>
      </w:r>
      <w:r w:rsidR="009E1E9A">
        <w:rPr>
          <w:rStyle w:val="FootnoteReference"/>
          <w:rFonts w:asciiTheme="minorHAnsi" w:hAnsiTheme="minorHAnsi"/>
        </w:rPr>
        <w:footnoteReference w:id="83"/>
      </w:r>
      <w:r w:rsidR="007644BD">
        <w:rPr>
          <w:rFonts w:asciiTheme="minorHAnsi" w:hAnsiTheme="minorHAnsi"/>
        </w:rPr>
        <w:t xml:space="preserve"> Hence, this</w:t>
      </w:r>
      <w:r w:rsidRPr="00CB1460">
        <w:rPr>
          <w:rFonts w:asciiTheme="minorHAnsi" w:hAnsiTheme="minorHAnsi"/>
        </w:rPr>
        <w:t xml:space="preserve"> would have produced hyperinflation leading anyone thinking twice about</w:t>
      </w:r>
      <w:r w:rsidR="00424DDE" w:rsidRPr="00CB1460">
        <w:rPr>
          <w:rFonts w:asciiTheme="minorHAnsi" w:hAnsiTheme="minorHAnsi"/>
        </w:rPr>
        <w:t xml:space="preserve"> not</w:t>
      </w:r>
      <w:r w:rsidRPr="00CB1460">
        <w:rPr>
          <w:rFonts w:asciiTheme="minorHAnsi" w:hAnsiTheme="minorHAnsi"/>
        </w:rPr>
        <w:t xml:space="preserve"> running for their money to do so immediately</w:t>
      </w:r>
      <w:r w:rsidR="009E2974" w:rsidRPr="00CB1460">
        <w:rPr>
          <w:rFonts w:asciiTheme="minorHAnsi" w:hAnsiTheme="minorHAnsi"/>
        </w:rPr>
        <w:t>.</w:t>
      </w:r>
      <w:r w:rsidR="00A44813" w:rsidRPr="00CB1460">
        <w:rPr>
          <w:rFonts w:asciiTheme="minorHAnsi" w:hAnsiTheme="minorHAnsi"/>
        </w:rPr>
        <w:t xml:space="preserve"> </w:t>
      </w:r>
    </w:p>
    <w:p w14:paraId="2C8DEAE9" w14:textId="77777777" w:rsidR="00424DDE" w:rsidRPr="00CB1460" w:rsidRDefault="00424DDE" w:rsidP="006E3A7A">
      <w:pPr>
        <w:jc w:val="both"/>
        <w:rPr>
          <w:rFonts w:asciiTheme="minorHAnsi" w:hAnsiTheme="minorHAnsi"/>
        </w:rPr>
      </w:pPr>
    </w:p>
    <w:p w14:paraId="5C1C55C5" w14:textId="1B1869AD" w:rsidR="00310F8E" w:rsidRPr="008E5E3D" w:rsidRDefault="00775E09" w:rsidP="006E3A7A">
      <w:pPr>
        <w:jc w:val="both"/>
        <w:rPr>
          <w:rFonts w:asciiTheme="minorHAnsi" w:hAnsiTheme="minorHAnsi"/>
        </w:rPr>
      </w:pPr>
      <w:r w:rsidRPr="00CB1460">
        <w:rPr>
          <w:rFonts w:asciiTheme="minorHAnsi" w:hAnsiTheme="minorHAnsi"/>
        </w:rPr>
        <w:t xml:space="preserve">The U.S. has yet to experience a run on its central bank. </w:t>
      </w:r>
      <w:r w:rsidR="007644BD">
        <w:rPr>
          <w:rFonts w:asciiTheme="minorHAnsi" w:hAnsiTheme="minorHAnsi"/>
        </w:rPr>
        <w:t xml:space="preserve">But this is common </w:t>
      </w:r>
      <w:r w:rsidRPr="00CB1460">
        <w:rPr>
          <w:rFonts w:asciiTheme="minorHAnsi" w:hAnsiTheme="minorHAnsi"/>
        </w:rPr>
        <w:t>in countries like Argentina</w:t>
      </w:r>
      <w:r w:rsidR="00A11D6B" w:rsidRPr="00CB1460">
        <w:rPr>
          <w:rFonts w:asciiTheme="minorHAnsi" w:hAnsiTheme="minorHAnsi"/>
        </w:rPr>
        <w:t>, where</w:t>
      </w:r>
      <w:r w:rsidR="003263BC" w:rsidRPr="00CB1460">
        <w:rPr>
          <w:rFonts w:asciiTheme="minorHAnsi" w:hAnsiTheme="minorHAnsi"/>
        </w:rPr>
        <w:t xml:space="preserve"> the public and the financial community are well aware that </w:t>
      </w:r>
      <w:r w:rsidR="00C349E0" w:rsidRPr="00CB1460">
        <w:rPr>
          <w:rFonts w:asciiTheme="minorHAnsi" w:hAnsiTheme="minorHAnsi"/>
        </w:rPr>
        <w:t xml:space="preserve">the government’s pledge of deposit and related financial insurance can only be </w:t>
      </w:r>
      <w:r w:rsidR="00310F8E" w:rsidRPr="00CB1460">
        <w:rPr>
          <w:rFonts w:asciiTheme="minorHAnsi" w:hAnsiTheme="minorHAnsi"/>
        </w:rPr>
        <w:t>honored in the context of the wholesale printing of money</w:t>
      </w:r>
      <w:r w:rsidR="00A44813" w:rsidRPr="00CB1460">
        <w:rPr>
          <w:rFonts w:asciiTheme="minorHAnsi" w:hAnsiTheme="minorHAnsi"/>
        </w:rPr>
        <w:t xml:space="preserve">. Such money printing means </w:t>
      </w:r>
      <w:r w:rsidR="00310F8E" w:rsidRPr="00CB1460">
        <w:rPr>
          <w:rFonts w:asciiTheme="minorHAnsi" w:hAnsiTheme="minorHAnsi"/>
        </w:rPr>
        <w:t xml:space="preserve">the pledge won’t be honored in real terms. </w:t>
      </w:r>
      <w:r w:rsidR="00A0498A" w:rsidRPr="00CB1460">
        <w:rPr>
          <w:rFonts w:asciiTheme="minorHAnsi" w:hAnsiTheme="minorHAnsi"/>
        </w:rPr>
        <w:t xml:space="preserve">Thus, with central banks as with private banks, there are two equilibria – everyone runs and no one runs. </w:t>
      </w:r>
    </w:p>
    <w:p w14:paraId="03E5F793" w14:textId="77777777" w:rsidR="00DD3FE9" w:rsidRDefault="00DD3FE9" w:rsidP="003F0C3B">
      <w:pPr>
        <w:jc w:val="both"/>
        <w:rPr>
          <w:rFonts w:asciiTheme="minorHAnsi" w:hAnsiTheme="minorHAnsi"/>
        </w:rPr>
      </w:pPr>
    </w:p>
    <w:p w14:paraId="40A7EF83" w14:textId="77777777" w:rsidR="00DD3FE9" w:rsidRPr="00CB1460" w:rsidRDefault="00DD3FE9" w:rsidP="00DD3FE9">
      <w:pPr>
        <w:jc w:val="both"/>
        <w:rPr>
          <w:rFonts w:asciiTheme="minorHAnsi" w:hAnsiTheme="minorHAnsi"/>
        </w:rPr>
      </w:pPr>
      <w:r w:rsidRPr="00CB1460">
        <w:rPr>
          <w:rFonts w:asciiTheme="minorHAnsi" w:hAnsiTheme="minorHAnsi"/>
          <w:b/>
        </w:rPr>
        <w:t>The Role of Opacity</w:t>
      </w:r>
      <w:r w:rsidRPr="00CB1460">
        <w:rPr>
          <w:rFonts w:asciiTheme="minorHAnsi" w:hAnsiTheme="minorHAnsi"/>
        </w:rPr>
        <w:t xml:space="preserve"> </w:t>
      </w:r>
    </w:p>
    <w:p w14:paraId="059C40CC" w14:textId="5E541426" w:rsidR="00DD3FE9" w:rsidRDefault="00DD3FE9" w:rsidP="00DD3FE9">
      <w:pPr>
        <w:jc w:val="both"/>
        <w:rPr>
          <w:rFonts w:asciiTheme="minorHAnsi" w:hAnsiTheme="minorHAnsi"/>
        </w:rPr>
      </w:pPr>
      <w:r w:rsidRPr="00CB1460">
        <w:rPr>
          <w:rFonts w:asciiTheme="minorHAnsi" w:hAnsiTheme="minorHAnsi"/>
        </w:rPr>
        <w:t xml:space="preserve">Opacity is the midwife of financial panics. Bear Sterns was </w:t>
      </w:r>
      <w:r>
        <w:rPr>
          <w:rFonts w:asciiTheme="minorHAnsi" w:hAnsiTheme="minorHAnsi"/>
        </w:rPr>
        <w:t xml:space="preserve">among </w:t>
      </w:r>
      <w:r w:rsidRPr="00CB1460">
        <w:rPr>
          <w:rFonts w:asciiTheme="minorHAnsi" w:hAnsiTheme="minorHAnsi"/>
        </w:rPr>
        <w:t>the first to be picked off b</w:t>
      </w:r>
      <w:r>
        <w:rPr>
          <w:rFonts w:asciiTheme="minorHAnsi" w:hAnsiTheme="minorHAnsi"/>
        </w:rPr>
        <w:t>y those who stood to gain by a financial</w:t>
      </w:r>
      <w:r w:rsidRPr="00CB1460">
        <w:rPr>
          <w:rFonts w:asciiTheme="minorHAnsi" w:hAnsiTheme="minorHAnsi"/>
        </w:rPr>
        <w:t xml:space="preserve"> collapse because it was </w:t>
      </w:r>
      <w:r>
        <w:rPr>
          <w:rFonts w:asciiTheme="minorHAnsi" w:hAnsiTheme="minorHAnsi"/>
        </w:rPr>
        <w:t xml:space="preserve">viewed as particularly </w:t>
      </w:r>
      <w:r w:rsidRPr="00CB1460">
        <w:rPr>
          <w:rFonts w:asciiTheme="minorHAnsi" w:hAnsiTheme="minorHAnsi"/>
        </w:rPr>
        <w:t xml:space="preserve">opaque. </w:t>
      </w:r>
      <w:r w:rsidR="00F95FA5">
        <w:rPr>
          <w:rFonts w:asciiTheme="minorHAnsi" w:hAnsiTheme="minorHAnsi"/>
        </w:rPr>
        <w:t>According to Cohan (2010</w:t>
      </w:r>
      <w:r>
        <w:rPr>
          <w:rFonts w:asciiTheme="minorHAnsi" w:hAnsiTheme="minorHAnsi"/>
        </w:rPr>
        <w:t xml:space="preserve"> ), no o</w:t>
      </w:r>
      <w:r w:rsidRPr="00CB1460">
        <w:rPr>
          <w:rFonts w:asciiTheme="minorHAnsi" w:hAnsiTheme="minorHAnsi"/>
        </w:rPr>
        <w:t>ne on the street or, it seems, inside the bank, knew what its assets were really worth. What they did know is that its relatively high leverage an</w:t>
      </w:r>
      <w:r>
        <w:rPr>
          <w:rFonts w:asciiTheme="minorHAnsi" w:hAnsiTheme="minorHAnsi"/>
        </w:rPr>
        <w:t>d opacity made it vulnerable</w:t>
      </w:r>
      <w:r w:rsidRPr="00CB1460">
        <w:rPr>
          <w:rFonts w:asciiTheme="minorHAnsi" w:hAnsiTheme="minorHAnsi"/>
        </w:rPr>
        <w:t xml:space="preserve">. </w:t>
      </w:r>
      <w:r>
        <w:rPr>
          <w:rFonts w:asciiTheme="minorHAnsi" w:hAnsiTheme="minorHAnsi"/>
        </w:rPr>
        <w:t>So, too, according to Cohan (</w:t>
      </w:r>
      <w:r w:rsidR="00F95FA5">
        <w:rPr>
          <w:rFonts w:asciiTheme="minorHAnsi" w:hAnsiTheme="minorHAnsi"/>
        </w:rPr>
        <w:t>2010</w:t>
      </w:r>
      <w:r>
        <w:rPr>
          <w:rFonts w:asciiTheme="minorHAnsi" w:hAnsiTheme="minorHAnsi"/>
        </w:rPr>
        <w:t>), did Bear CEO, Jimmy Cayne’s reputation for caring more about his bridge game than his bank and his poor personal relationships with top Wall Street bankers as well as Treasury Chairman, Hank Paulson.</w:t>
      </w:r>
      <w:r>
        <w:rPr>
          <w:rStyle w:val="FootnoteReference"/>
          <w:rFonts w:asciiTheme="minorHAnsi" w:hAnsiTheme="minorHAnsi"/>
        </w:rPr>
        <w:footnoteReference w:id="84"/>
      </w:r>
      <w:r>
        <w:rPr>
          <w:rFonts w:asciiTheme="minorHAnsi" w:hAnsiTheme="minorHAnsi"/>
        </w:rPr>
        <w:t xml:space="preserve"> </w:t>
      </w:r>
    </w:p>
    <w:p w14:paraId="2C636C30" w14:textId="77777777" w:rsidR="00EC1D4B" w:rsidRDefault="00EC1D4B" w:rsidP="00DD3FE9">
      <w:pPr>
        <w:jc w:val="both"/>
        <w:rPr>
          <w:rFonts w:asciiTheme="minorHAnsi" w:hAnsiTheme="minorHAnsi"/>
        </w:rPr>
      </w:pPr>
    </w:p>
    <w:p w14:paraId="566E7B2B" w14:textId="77777777" w:rsidR="00DD3FE9" w:rsidRDefault="00DD3FE9" w:rsidP="00DD3FE9">
      <w:pPr>
        <w:jc w:val="both"/>
        <w:rPr>
          <w:rFonts w:asciiTheme="minorHAnsi" w:hAnsiTheme="minorHAnsi"/>
        </w:rPr>
      </w:pPr>
    </w:p>
    <w:p w14:paraId="67780F23" w14:textId="6C3D5BF7" w:rsidR="00DD3FE9" w:rsidRDefault="00DD3FE9" w:rsidP="00DD3FE9">
      <w:pPr>
        <w:jc w:val="both"/>
        <w:rPr>
          <w:rFonts w:asciiTheme="minorHAnsi" w:hAnsiTheme="minorHAnsi"/>
        </w:rPr>
      </w:pPr>
      <w:r>
        <w:rPr>
          <w:rFonts w:asciiTheme="minorHAnsi" w:hAnsiTheme="minorHAnsi"/>
        </w:rPr>
        <w:t>The fact that Bear’s stock was valued at $60 per share one week before JP Morgan bought</w:t>
      </w:r>
      <w:r w:rsidR="00905A85">
        <w:rPr>
          <w:rFonts w:asciiTheme="minorHAnsi" w:hAnsiTheme="minorHAnsi"/>
        </w:rPr>
        <w:t xml:space="preserve"> it for $2 per share (less a $29</w:t>
      </w:r>
      <w:r>
        <w:rPr>
          <w:rFonts w:asciiTheme="minorHAnsi" w:hAnsiTheme="minorHAnsi"/>
        </w:rPr>
        <w:t xml:space="preserve"> billion sale of </w:t>
      </w:r>
      <w:r w:rsidR="00941E47">
        <w:rPr>
          <w:rFonts w:asciiTheme="minorHAnsi" w:hAnsiTheme="minorHAnsi"/>
        </w:rPr>
        <w:t xml:space="preserve">Bear’s </w:t>
      </w:r>
      <w:r>
        <w:rPr>
          <w:rFonts w:asciiTheme="minorHAnsi" w:hAnsiTheme="minorHAnsi"/>
        </w:rPr>
        <w:t>troubled assets to the</w:t>
      </w:r>
      <w:r w:rsidR="00905A85">
        <w:rPr>
          <w:rFonts w:asciiTheme="minorHAnsi" w:hAnsiTheme="minorHAnsi"/>
        </w:rPr>
        <w:t xml:space="preserve"> Fed valued at far less than $29</w:t>
      </w:r>
      <w:r>
        <w:rPr>
          <w:rFonts w:asciiTheme="minorHAnsi" w:hAnsiTheme="minorHAnsi"/>
        </w:rPr>
        <w:t xml:space="preserve"> billion) tells us that no one knew anything about Bear’s assets, either before it died or when it died. Its valuation was, it seems, purely a matter of conjecture. Before it didn’t, the market apparently though Bear’s assets were worth something because everyone else thought its assets were worth something. This is the stuff of multiple equilibria. </w:t>
      </w:r>
    </w:p>
    <w:p w14:paraId="03E9AED9" w14:textId="77777777" w:rsidR="00DD3FE9" w:rsidRDefault="00DD3FE9" w:rsidP="00DD3FE9">
      <w:pPr>
        <w:jc w:val="both"/>
        <w:rPr>
          <w:rFonts w:asciiTheme="minorHAnsi" w:hAnsiTheme="minorHAnsi"/>
        </w:rPr>
      </w:pPr>
    </w:p>
    <w:p w14:paraId="36E57B59" w14:textId="01C739C4" w:rsidR="00DD3FE9" w:rsidRDefault="00DD3FE9" w:rsidP="00DD3FE9">
      <w:pPr>
        <w:jc w:val="both"/>
        <w:rPr>
          <w:rFonts w:asciiTheme="minorHAnsi" w:hAnsiTheme="minorHAnsi"/>
        </w:rPr>
      </w:pPr>
      <w:r>
        <w:rPr>
          <w:rFonts w:asciiTheme="minorHAnsi" w:hAnsiTheme="minorHAnsi"/>
        </w:rPr>
        <w:t xml:space="preserve">Samuelson’s (1958) pure consumption loan model, in which the young can’t save for old age, illustrates the problem. Money, in his model, has value because each young generation thinks the next young generation will treat it as having value and trade food (chocolate in Samuelson’s example) for money. This belief makes ever generation better off. But if the belief </w:t>
      </w:r>
      <w:r w:rsidR="00BB6109">
        <w:rPr>
          <w:rFonts w:asciiTheme="minorHAnsi" w:hAnsiTheme="minorHAnsi"/>
        </w:rPr>
        <w:t>that successive</w:t>
      </w:r>
      <w:r>
        <w:rPr>
          <w:rFonts w:asciiTheme="minorHAnsi" w:hAnsiTheme="minorHAnsi"/>
        </w:rPr>
        <w:t xml:space="preserve"> young </w:t>
      </w:r>
      <w:r w:rsidR="00BB6109">
        <w:rPr>
          <w:rFonts w:asciiTheme="minorHAnsi" w:hAnsiTheme="minorHAnsi"/>
        </w:rPr>
        <w:t xml:space="preserve">generations </w:t>
      </w:r>
      <w:r>
        <w:rPr>
          <w:rFonts w:asciiTheme="minorHAnsi" w:hAnsiTheme="minorHAnsi"/>
        </w:rPr>
        <w:t xml:space="preserve">will make the swap comes to an end, Samuelson’s elegant solution collapses </w:t>
      </w:r>
      <w:r w:rsidR="00BB6109">
        <w:rPr>
          <w:rFonts w:asciiTheme="minorHAnsi" w:hAnsiTheme="minorHAnsi"/>
        </w:rPr>
        <w:t xml:space="preserve">to the no-money, bad </w:t>
      </w:r>
      <w:r>
        <w:rPr>
          <w:rFonts w:asciiTheme="minorHAnsi" w:hAnsiTheme="minorHAnsi"/>
        </w:rPr>
        <w:t>equilibrium in which current and future elderly all starve to death.</w:t>
      </w:r>
      <w:r w:rsidR="006946B0">
        <w:rPr>
          <w:rStyle w:val="FootnoteReference"/>
          <w:rFonts w:asciiTheme="minorHAnsi" w:hAnsiTheme="minorHAnsi"/>
        </w:rPr>
        <w:footnoteReference w:id="85"/>
      </w:r>
      <w:r>
        <w:rPr>
          <w:rFonts w:asciiTheme="minorHAnsi" w:hAnsiTheme="minorHAnsi"/>
        </w:rPr>
        <w:t xml:space="preserve"> The indeterminacy is actually even worse. The Samuelson model admits a continuum of equilibria based on different assumptions about the path of future rates at which money will swap for chocolates.</w:t>
      </w:r>
      <w:r>
        <w:rPr>
          <w:rStyle w:val="FootnoteReference"/>
          <w:rFonts w:asciiTheme="minorHAnsi" w:hAnsiTheme="minorHAnsi"/>
        </w:rPr>
        <w:footnoteReference w:id="86"/>
      </w:r>
      <w:r>
        <w:rPr>
          <w:rFonts w:asciiTheme="minorHAnsi" w:hAnsiTheme="minorHAnsi"/>
        </w:rPr>
        <w:t xml:space="preserve"> </w:t>
      </w:r>
    </w:p>
    <w:p w14:paraId="1CB9C7DF" w14:textId="77777777" w:rsidR="00DD3FE9" w:rsidRDefault="00DD3FE9" w:rsidP="00DD3FE9">
      <w:pPr>
        <w:jc w:val="both"/>
        <w:rPr>
          <w:rFonts w:asciiTheme="minorHAnsi" w:hAnsiTheme="minorHAnsi"/>
        </w:rPr>
      </w:pPr>
    </w:p>
    <w:p w14:paraId="1E3574E1" w14:textId="44EC0955" w:rsidR="00DD3FE9" w:rsidRDefault="00DD3FE9" w:rsidP="00DD3FE9">
      <w:pPr>
        <w:jc w:val="both"/>
        <w:rPr>
          <w:rFonts w:asciiTheme="minorHAnsi" w:hAnsiTheme="minorHAnsi"/>
        </w:rPr>
      </w:pPr>
      <w:r>
        <w:rPr>
          <w:rFonts w:asciiTheme="minorHAnsi" w:hAnsiTheme="minorHAnsi"/>
        </w:rPr>
        <w:t>Of course, it’s hard to prove opacity -- that no one really understood Bear’s book of business except, perhaps, Jimmy Cayne. Coh</w:t>
      </w:r>
      <w:r w:rsidR="00F95FA5">
        <w:rPr>
          <w:rFonts w:asciiTheme="minorHAnsi" w:hAnsiTheme="minorHAnsi"/>
        </w:rPr>
        <w:t>an’s (2010</w:t>
      </w:r>
      <w:r>
        <w:rPr>
          <w:rFonts w:asciiTheme="minorHAnsi" w:hAnsiTheme="minorHAnsi"/>
        </w:rPr>
        <w:t xml:space="preserve">) “proof” comes from interviewing insiders at Bear, but they may have born grudges. For whatever it’s worth, let me relate my own interview, which I conducted in 2008 with my then brother-in-law, Jim. Jim was a top banker with JP Morgan at the time and was one of some two hundred JP Morgan bankers who were tasked to spend what turned out to be Bear’s final weekend valuing Bear’s assets. After </w:t>
      </w:r>
      <w:r w:rsidR="006946B0">
        <w:rPr>
          <w:rFonts w:asciiTheme="minorHAnsi" w:hAnsiTheme="minorHAnsi"/>
        </w:rPr>
        <w:t>Bear</w:t>
      </w:r>
      <w:r>
        <w:rPr>
          <w:rFonts w:asciiTheme="minorHAnsi" w:hAnsiTheme="minorHAnsi"/>
        </w:rPr>
        <w:t xml:space="preserve"> sold for less than the value of its headquarters building, I asked Jim how much he and his colleagues knew about Bear’s assets before they began looking at its books. His answer was “nothing.” I then asked Jim how much he and his colleagues knew about Bear’s assets after they spent 24-7 for almost three days looking at Bear’s books. His answer was “nothing.” </w:t>
      </w:r>
    </w:p>
    <w:p w14:paraId="03D19E6E" w14:textId="77777777" w:rsidR="00DD3FE9" w:rsidRDefault="00DD3FE9" w:rsidP="00DD3FE9">
      <w:pPr>
        <w:jc w:val="both"/>
        <w:rPr>
          <w:rFonts w:asciiTheme="minorHAnsi" w:hAnsiTheme="minorHAnsi"/>
        </w:rPr>
      </w:pPr>
    </w:p>
    <w:p w14:paraId="1BB78867" w14:textId="6CBFBC8D" w:rsidR="00DD3FE9" w:rsidRDefault="00DD3FE9" w:rsidP="00DD3FE9">
      <w:pPr>
        <w:jc w:val="both"/>
        <w:rPr>
          <w:rFonts w:asciiTheme="minorHAnsi" w:hAnsiTheme="minorHAnsi"/>
        </w:rPr>
      </w:pPr>
      <w:r>
        <w:rPr>
          <w:rFonts w:asciiTheme="minorHAnsi" w:hAnsiTheme="minorHAnsi"/>
        </w:rPr>
        <w:t xml:space="preserve">Bear’s collapse showed the market that there was potentially no there there in any of the banks. If one Bear’s mystery “rock solid” assets were worth a fortune yesterday, but nothing today, maybe the same was true of other bank’s assets. And as the next most “trustworthy” bank fell, because, again, </w:t>
      </w:r>
      <w:r w:rsidR="006946B0">
        <w:rPr>
          <w:rFonts w:asciiTheme="minorHAnsi" w:hAnsiTheme="minorHAnsi"/>
        </w:rPr>
        <w:t xml:space="preserve">it became clear that </w:t>
      </w:r>
      <w:r>
        <w:rPr>
          <w:rFonts w:asciiTheme="minorHAnsi" w:hAnsiTheme="minorHAnsi"/>
        </w:rPr>
        <w:t>no one could really understand its assets</w:t>
      </w:r>
      <w:r w:rsidR="006946B0">
        <w:rPr>
          <w:rFonts w:asciiTheme="minorHAnsi" w:hAnsiTheme="minorHAnsi"/>
        </w:rPr>
        <w:t xml:space="preserve"> either</w:t>
      </w:r>
      <w:r>
        <w:rPr>
          <w:rFonts w:asciiTheme="minorHAnsi" w:hAnsiTheme="minorHAnsi"/>
        </w:rPr>
        <w:t xml:space="preserve">, the belief that yet more “trustworthy” bank’s assets were rock solid declined. The serial failure of the banks, thus, appears to accord with what opacity and faith-based asset valuations would deliver. </w:t>
      </w:r>
    </w:p>
    <w:p w14:paraId="6AF891DC" w14:textId="77777777" w:rsidR="00DD3FE9" w:rsidRDefault="00DD3FE9" w:rsidP="00DD3FE9">
      <w:pPr>
        <w:jc w:val="both"/>
        <w:rPr>
          <w:rFonts w:asciiTheme="minorHAnsi" w:hAnsiTheme="minorHAnsi"/>
        </w:rPr>
      </w:pPr>
    </w:p>
    <w:p w14:paraId="5D0098D6" w14:textId="77777777" w:rsidR="00DD3FE9" w:rsidRDefault="00DD3FE9" w:rsidP="00DD3FE9">
      <w:pPr>
        <w:jc w:val="both"/>
        <w:rPr>
          <w:rFonts w:asciiTheme="minorHAnsi" w:hAnsiTheme="minorHAnsi"/>
        </w:rPr>
      </w:pPr>
      <w:r>
        <w:rPr>
          <w:rFonts w:asciiTheme="minorHAnsi" w:hAnsiTheme="minorHAnsi"/>
        </w:rPr>
        <w:t xml:space="preserve">By analogy, if Island A’s kids stop swapping chocolate for money because they think their own kids won’t swap with them, the failure of the self-fulfilling prophecy in Island A can flip the behavior of kids in island B who were modeling themselves after Island A’s kids. Next, Island C’s kids, who were modeling themselves after Island B’s kids could flip and so forth. </w:t>
      </w:r>
    </w:p>
    <w:p w14:paraId="7AF42394" w14:textId="77777777" w:rsidR="00DD3FE9" w:rsidRPr="00CB1460" w:rsidRDefault="00DD3FE9" w:rsidP="00DD3FE9">
      <w:pPr>
        <w:jc w:val="both"/>
        <w:rPr>
          <w:rFonts w:asciiTheme="minorHAnsi" w:hAnsiTheme="minorHAnsi"/>
        </w:rPr>
      </w:pPr>
    </w:p>
    <w:p w14:paraId="28578577" w14:textId="43889185" w:rsidR="00DD3FE9" w:rsidRPr="00CB1460" w:rsidRDefault="00DD3FE9" w:rsidP="003F0C3B">
      <w:pPr>
        <w:jc w:val="both"/>
        <w:rPr>
          <w:rFonts w:asciiTheme="minorHAnsi" w:hAnsiTheme="minorHAnsi"/>
        </w:rPr>
      </w:pPr>
      <w:r>
        <w:rPr>
          <w:rFonts w:asciiTheme="minorHAnsi" w:hAnsiTheme="minorHAnsi"/>
        </w:rPr>
        <w:t>In the event, o</w:t>
      </w:r>
      <w:r w:rsidRPr="00CB1460">
        <w:rPr>
          <w:rFonts w:asciiTheme="minorHAnsi" w:hAnsiTheme="minorHAnsi"/>
        </w:rPr>
        <w:t xml:space="preserve">nce the mighty, 85 year-old Bear Sterns was taken down, </w:t>
      </w:r>
      <w:r>
        <w:rPr>
          <w:rFonts w:asciiTheme="minorHAnsi" w:hAnsiTheme="minorHAnsi"/>
        </w:rPr>
        <w:t xml:space="preserve">other banks began to fall. First </w:t>
      </w:r>
      <w:r w:rsidRPr="00CB1460">
        <w:rPr>
          <w:rFonts w:asciiTheme="minorHAnsi" w:hAnsiTheme="minorHAnsi"/>
        </w:rPr>
        <w:t xml:space="preserve">IndyMac, </w:t>
      </w:r>
      <w:r>
        <w:rPr>
          <w:rFonts w:asciiTheme="minorHAnsi" w:hAnsiTheme="minorHAnsi"/>
        </w:rPr>
        <w:t xml:space="preserve">then </w:t>
      </w:r>
      <w:r w:rsidRPr="00CB1460">
        <w:rPr>
          <w:rFonts w:asciiTheme="minorHAnsi" w:hAnsiTheme="minorHAnsi"/>
        </w:rPr>
        <w:t>Fannie Mae and Freddie Mac (the massive government-sponsored mortgage companies)</w:t>
      </w:r>
      <w:r>
        <w:rPr>
          <w:rFonts w:asciiTheme="minorHAnsi" w:hAnsiTheme="minorHAnsi"/>
        </w:rPr>
        <w:t xml:space="preserve"> followed by Merrill Lynch on the same weekend as Lehman.</w:t>
      </w:r>
      <w:r>
        <w:rPr>
          <w:rStyle w:val="FootnoteReference"/>
          <w:rFonts w:asciiTheme="minorHAnsi" w:hAnsiTheme="minorHAnsi"/>
        </w:rPr>
        <w:footnoteReference w:id="87"/>
      </w:r>
      <w:r>
        <w:rPr>
          <w:rFonts w:asciiTheme="minorHAnsi" w:hAnsiTheme="minorHAnsi"/>
        </w:rPr>
        <w:t xml:space="preserve"> Th</w:t>
      </w:r>
      <w:r w:rsidR="00C7554E">
        <w:rPr>
          <w:rFonts w:asciiTheme="minorHAnsi" w:hAnsiTheme="minorHAnsi"/>
        </w:rPr>
        <w:t xml:space="preserve">e 10-month, 10 huge-bank-failure process from Countrywide </w:t>
      </w:r>
      <w:r>
        <w:rPr>
          <w:rFonts w:asciiTheme="minorHAnsi" w:hAnsiTheme="minorHAnsi"/>
        </w:rPr>
        <w:t xml:space="preserve">to </w:t>
      </w:r>
      <w:r w:rsidR="00C7554E">
        <w:rPr>
          <w:rFonts w:asciiTheme="minorHAnsi" w:hAnsiTheme="minorHAnsi"/>
        </w:rPr>
        <w:t xml:space="preserve">Washington Mutual </w:t>
      </w:r>
      <w:r>
        <w:rPr>
          <w:rFonts w:asciiTheme="minorHAnsi" w:hAnsiTheme="minorHAnsi"/>
        </w:rPr>
        <w:t xml:space="preserve">has the feel of an accelerating information cascade. </w:t>
      </w:r>
    </w:p>
    <w:p w14:paraId="13551EB1" w14:textId="77777777" w:rsidR="00AE421B" w:rsidRPr="00CB1460" w:rsidRDefault="00AE421B" w:rsidP="006E3A7A">
      <w:pPr>
        <w:jc w:val="both"/>
        <w:rPr>
          <w:rFonts w:asciiTheme="minorHAnsi" w:hAnsiTheme="minorHAnsi"/>
        </w:rPr>
      </w:pPr>
    </w:p>
    <w:p w14:paraId="454183A5" w14:textId="44CE392C" w:rsidR="00F12C02" w:rsidRPr="00CB1460" w:rsidRDefault="004771FF" w:rsidP="006E3A7A">
      <w:pPr>
        <w:jc w:val="both"/>
        <w:rPr>
          <w:rFonts w:asciiTheme="minorHAnsi" w:hAnsiTheme="minorHAnsi"/>
          <w:b/>
        </w:rPr>
      </w:pPr>
      <w:r w:rsidRPr="00CB1460">
        <w:rPr>
          <w:rFonts w:asciiTheme="minorHAnsi" w:hAnsiTheme="minorHAnsi"/>
          <w:b/>
        </w:rPr>
        <w:t xml:space="preserve">Eliminating </w:t>
      </w:r>
      <w:r w:rsidR="00AE421B" w:rsidRPr="00CB1460">
        <w:rPr>
          <w:rFonts w:asciiTheme="minorHAnsi" w:hAnsiTheme="minorHAnsi"/>
          <w:b/>
        </w:rPr>
        <w:t>th</w:t>
      </w:r>
      <w:r w:rsidR="003570EE" w:rsidRPr="00CB1460">
        <w:rPr>
          <w:rFonts w:asciiTheme="minorHAnsi" w:hAnsiTheme="minorHAnsi"/>
          <w:b/>
        </w:rPr>
        <w:t>e Twin Pillars of Financial Collapse –</w:t>
      </w:r>
      <w:r w:rsidR="00165F13" w:rsidRPr="00CB1460">
        <w:rPr>
          <w:rFonts w:asciiTheme="minorHAnsi" w:hAnsiTheme="minorHAnsi"/>
          <w:b/>
        </w:rPr>
        <w:t xml:space="preserve"> </w:t>
      </w:r>
      <w:r w:rsidR="003570EE" w:rsidRPr="00CB1460">
        <w:rPr>
          <w:rFonts w:asciiTheme="minorHAnsi" w:hAnsiTheme="minorHAnsi"/>
          <w:b/>
        </w:rPr>
        <w:t>Leverage</w:t>
      </w:r>
      <w:r w:rsidR="00165F13" w:rsidRPr="00CB1460">
        <w:rPr>
          <w:rFonts w:asciiTheme="minorHAnsi" w:hAnsiTheme="minorHAnsi"/>
          <w:b/>
        </w:rPr>
        <w:t xml:space="preserve"> and Opacity</w:t>
      </w:r>
    </w:p>
    <w:p w14:paraId="5AC75EA7" w14:textId="72F1F0DE" w:rsidR="00C7554E" w:rsidRDefault="005E0068" w:rsidP="006E3A7A">
      <w:pPr>
        <w:jc w:val="both"/>
        <w:rPr>
          <w:rFonts w:asciiTheme="minorHAnsi" w:hAnsiTheme="minorHAnsi"/>
        </w:rPr>
      </w:pPr>
      <w:r w:rsidRPr="00CB1460">
        <w:rPr>
          <w:rFonts w:asciiTheme="minorHAnsi" w:hAnsiTheme="minorHAnsi"/>
        </w:rPr>
        <w:t xml:space="preserve">Banks that have zero leverage -- </w:t>
      </w:r>
      <w:r w:rsidR="003570EE" w:rsidRPr="00CB1460">
        <w:rPr>
          <w:rFonts w:asciiTheme="minorHAnsi" w:hAnsiTheme="minorHAnsi"/>
        </w:rPr>
        <w:t xml:space="preserve">don’t owe anything </w:t>
      </w:r>
      <w:r w:rsidRPr="00CB1460">
        <w:rPr>
          <w:rFonts w:asciiTheme="minorHAnsi" w:hAnsiTheme="minorHAnsi"/>
        </w:rPr>
        <w:t xml:space="preserve">to anyone -- can’t go bankrupt. Hence, the obvious way </w:t>
      </w:r>
      <w:r w:rsidR="003570EE" w:rsidRPr="00CB1460">
        <w:rPr>
          <w:rFonts w:asciiTheme="minorHAnsi" w:hAnsiTheme="minorHAnsi"/>
        </w:rPr>
        <w:t>to prevent future ba</w:t>
      </w:r>
      <w:r w:rsidRPr="00CB1460">
        <w:rPr>
          <w:rFonts w:asciiTheme="minorHAnsi" w:hAnsiTheme="minorHAnsi"/>
        </w:rPr>
        <w:t xml:space="preserve">nking crises is to preclude </w:t>
      </w:r>
      <w:r w:rsidR="00165F13" w:rsidRPr="00CB1460">
        <w:rPr>
          <w:rFonts w:asciiTheme="minorHAnsi" w:hAnsiTheme="minorHAnsi"/>
          <w:i/>
        </w:rPr>
        <w:t xml:space="preserve">all </w:t>
      </w:r>
      <w:r w:rsidRPr="00CB1460">
        <w:rPr>
          <w:rFonts w:asciiTheme="minorHAnsi" w:hAnsiTheme="minorHAnsi"/>
        </w:rPr>
        <w:t xml:space="preserve">financial corporations from borrowing. </w:t>
      </w:r>
      <w:r w:rsidR="00C7554E">
        <w:rPr>
          <w:rFonts w:asciiTheme="minorHAnsi" w:hAnsiTheme="minorHAnsi"/>
        </w:rPr>
        <w:t xml:space="preserve">Moreover, if opacity is a major problem, the answer is </w:t>
      </w:r>
      <w:r w:rsidR="008604B2">
        <w:rPr>
          <w:rFonts w:asciiTheme="minorHAnsi" w:hAnsiTheme="minorHAnsi"/>
        </w:rPr>
        <w:t xml:space="preserve">to have the government </w:t>
      </w:r>
      <w:r w:rsidR="00B10C45">
        <w:rPr>
          <w:rFonts w:asciiTheme="minorHAnsi" w:hAnsiTheme="minorHAnsi"/>
        </w:rPr>
        <w:t>oversee</w:t>
      </w:r>
      <w:r w:rsidR="00C7554E">
        <w:rPr>
          <w:rFonts w:asciiTheme="minorHAnsi" w:hAnsiTheme="minorHAnsi"/>
        </w:rPr>
        <w:t xml:space="preserve"> disclosure. Why the government? F</w:t>
      </w:r>
      <w:r w:rsidR="008604B2">
        <w:rPr>
          <w:rFonts w:asciiTheme="minorHAnsi" w:hAnsiTheme="minorHAnsi"/>
        </w:rPr>
        <w:t xml:space="preserve">irst, private parties can’t, as we’ve seen, be trusted to provide truthful disclosure. </w:t>
      </w:r>
      <w:r w:rsidR="002D4A11">
        <w:rPr>
          <w:rFonts w:asciiTheme="minorHAnsi" w:hAnsiTheme="minorHAnsi"/>
        </w:rPr>
        <w:t>Second</w:t>
      </w:r>
      <w:r w:rsidR="00AC32CE">
        <w:rPr>
          <w:rFonts w:asciiTheme="minorHAnsi" w:hAnsiTheme="minorHAnsi"/>
        </w:rPr>
        <w:t xml:space="preserve">, they can be mistrusted even if they are acting in a trustworthy manner. </w:t>
      </w:r>
      <w:r w:rsidR="002D4A11">
        <w:rPr>
          <w:rFonts w:asciiTheme="minorHAnsi" w:hAnsiTheme="minorHAnsi"/>
        </w:rPr>
        <w:t>Third</w:t>
      </w:r>
      <w:r w:rsidR="008604B2">
        <w:rPr>
          <w:rFonts w:asciiTheme="minorHAnsi" w:hAnsiTheme="minorHAnsi"/>
        </w:rPr>
        <w:t xml:space="preserve">, information is a public good, making its disclosure a public good. </w:t>
      </w:r>
    </w:p>
    <w:p w14:paraId="00921284" w14:textId="77777777" w:rsidR="00165F13" w:rsidRPr="00CB1460" w:rsidRDefault="00165F13" w:rsidP="006E3A7A">
      <w:pPr>
        <w:jc w:val="both"/>
        <w:rPr>
          <w:rFonts w:asciiTheme="minorHAnsi" w:hAnsiTheme="minorHAnsi"/>
        </w:rPr>
      </w:pPr>
    </w:p>
    <w:p w14:paraId="7EDD044D" w14:textId="5AAC178D" w:rsidR="00165F13" w:rsidRPr="00CB1460" w:rsidRDefault="008067DD" w:rsidP="006E3A7A">
      <w:pPr>
        <w:jc w:val="both"/>
        <w:rPr>
          <w:rFonts w:asciiTheme="minorHAnsi" w:hAnsiTheme="minorHAnsi"/>
        </w:rPr>
      </w:pPr>
      <w:r>
        <w:rPr>
          <w:rFonts w:asciiTheme="minorHAnsi" w:hAnsiTheme="minorHAnsi"/>
        </w:rPr>
        <w:t>T</w:t>
      </w:r>
      <w:r w:rsidR="003749E6" w:rsidRPr="00CB1460">
        <w:rPr>
          <w:rFonts w:asciiTheme="minorHAnsi" w:hAnsiTheme="minorHAnsi"/>
        </w:rPr>
        <w:t xml:space="preserve">he Dodd Frank reform does very little to alter financial company leverage or </w:t>
      </w:r>
      <w:r w:rsidR="00AC32CE">
        <w:rPr>
          <w:rFonts w:asciiTheme="minorHAnsi" w:hAnsiTheme="minorHAnsi"/>
        </w:rPr>
        <w:t xml:space="preserve">limit the </w:t>
      </w:r>
      <w:r w:rsidR="003749E6" w:rsidRPr="00CB1460">
        <w:rPr>
          <w:rFonts w:asciiTheme="minorHAnsi" w:hAnsiTheme="minorHAnsi"/>
        </w:rPr>
        <w:t xml:space="preserve">financial </w:t>
      </w:r>
      <w:r w:rsidR="00AC32CE">
        <w:rPr>
          <w:rFonts w:asciiTheme="minorHAnsi" w:hAnsiTheme="minorHAnsi"/>
        </w:rPr>
        <w:t xml:space="preserve">system’s </w:t>
      </w:r>
      <w:r w:rsidR="003749E6" w:rsidRPr="00CB1460">
        <w:rPr>
          <w:rFonts w:asciiTheme="minorHAnsi" w:hAnsiTheme="minorHAnsi"/>
        </w:rPr>
        <w:t xml:space="preserve">opacity. As indicated, today’s banking system has essentially the same capital ratio as Lehman had the day it died. As for making financial </w:t>
      </w:r>
      <w:r w:rsidR="00E67DA9" w:rsidRPr="00CB1460">
        <w:rPr>
          <w:rFonts w:asciiTheme="minorHAnsi" w:hAnsiTheme="minorHAnsi"/>
        </w:rPr>
        <w:t>companies transparent, it’s</w:t>
      </w:r>
      <w:r w:rsidR="003749E6" w:rsidRPr="00CB1460">
        <w:rPr>
          <w:rFonts w:asciiTheme="minorHAnsi" w:hAnsiTheme="minorHAnsi"/>
        </w:rPr>
        <w:t xml:space="preserve"> busines</w:t>
      </w:r>
      <w:r w:rsidR="00ED213E" w:rsidRPr="00CB1460">
        <w:rPr>
          <w:rFonts w:asciiTheme="minorHAnsi" w:hAnsiTheme="minorHAnsi"/>
        </w:rPr>
        <w:t>s as usual on Wall Street. The pass on opacity was implicitly endorsed by the</w:t>
      </w:r>
      <w:r w:rsidR="00C5783B" w:rsidRPr="00CB1460">
        <w:rPr>
          <w:rFonts w:asciiTheme="minorHAnsi" w:hAnsiTheme="minorHAnsi"/>
        </w:rPr>
        <w:t xml:space="preserve"> FCIC </w:t>
      </w:r>
      <w:r w:rsidR="00ED213E" w:rsidRPr="00CB1460">
        <w:rPr>
          <w:rFonts w:asciiTheme="minorHAnsi" w:hAnsiTheme="minorHAnsi"/>
        </w:rPr>
        <w:t xml:space="preserve">report. That report </w:t>
      </w:r>
      <w:r w:rsidR="00C5783B" w:rsidRPr="00CB1460">
        <w:rPr>
          <w:rFonts w:asciiTheme="minorHAnsi" w:hAnsiTheme="minorHAnsi"/>
        </w:rPr>
        <w:t>runs 633 pages</w:t>
      </w:r>
      <w:r w:rsidR="000A4BAE">
        <w:rPr>
          <w:rFonts w:asciiTheme="minorHAnsi" w:hAnsiTheme="minorHAnsi"/>
        </w:rPr>
        <w:t xml:space="preserve">. The word opacity appears </w:t>
      </w:r>
      <w:r w:rsidR="00C5783B" w:rsidRPr="00CB1460">
        <w:rPr>
          <w:rFonts w:asciiTheme="minorHAnsi" w:hAnsiTheme="minorHAnsi"/>
        </w:rPr>
        <w:t>on</w:t>
      </w:r>
      <w:r w:rsidR="000A4BAE">
        <w:rPr>
          <w:rFonts w:asciiTheme="minorHAnsi" w:hAnsiTheme="minorHAnsi"/>
        </w:rPr>
        <w:t>ce. The word opaque appears</w:t>
      </w:r>
      <w:r w:rsidR="00C5783B" w:rsidRPr="00CB1460">
        <w:rPr>
          <w:rFonts w:asciiTheme="minorHAnsi" w:hAnsiTheme="minorHAnsi"/>
        </w:rPr>
        <w:t xml:space="preserve"> seven times. </w:t>
      </w:r>
    </w:p>
    <w:p w14:paraId="7D9350DF" w14:textId="77777777" w:rsidR="00F76FE8" w:rsidRPr="00CB1460" w:rsidRDefault="00F76FE8" w:rsidP="006E3A7A">
      <w:pPr>
        <w:jc w:val="both"/>
        <w:rPr>
          <w:rFonts w:asciiTheme="minorHAnsi" w:hAnsiTheme="minorHAnsi"/>
          <w:b/>
        </w:rPr>
      </w:pPr>
    </w:p>
    <w:p w14:paraId="5C704D0B" w14:textId="4338DBB6" w:rsidR="008E5E3D" w:rsidRPr="00CB1460" w:rsidRDefault="00F76FE8" w:rsidP="006E3A7A">
      <w:pPr>
        <w:jc w:val="both"/>
        <w:rPr>
          <w:rFonts w:asciiTheme="minorHAnsi" w:hAnsiTheme="minorHAnsi"/>
          <w:b/>
        </w:rPr>
      </w:pPr>
      <w:r w:rsidRPr="00CB1460">
        <w:rPr>
          <w:rFonts w:asciiTheme="minorHAnsi" w:hAnsiTheme="minorHAnsi"/>
          <w:b/>
        </w:rPr>
        <w:t>Conclusion</w:t>
      </w:r>
    </w:p>
    <w:p w14:paraId="7815E32F" w14:textId="333D4361" w:rsidR="004339DE" w:rsidRPr="00CB1460" w:rsidRDefault="00FB76EA" w:rsidP="006E3A7A">
      <w:pPr>
        <w:jc w:val="both"/>
        <w:rPr>
          <w:rFonts w:asciiTheme="minorHAnsi" w:hAnsiTheme="minorHAnsi"/>
        </w:rPr>
      </w:pPr>
      <w:r w:rsidRPr="00CB1460">
        <w:rPr>
          <w:rFonts w:asciiTheme="minorHAnsi" w:hAnsiTheme="minorHAnsi"/>
        </w:rPr>
        <w:t>Standard e</w:t>
      </w:r>
      <w:r w:rsidR="00702ED9" w:rsidRPr="00CB1460">
        <w:rPr>
          <w:rFonts w:asciiTheme="minorHAnsi" w:hAnsiTheme="minorHAnsi"/>
        </w:rPr>
        <w:t>xplanat</w:t>
      </w:r>
      <w:r w:rsidR="00842B5E" w:rsidRPr="00CB1460">
        <w:rPr>
          <w:rFonts w:asciiTheme="minorHAnsi" w:hAnsiTheme="minorHAnsi"/>
        </w:rPr>
        <w:t xml:space="preserve">ions of </w:t>
      </w:r>
      <w:r w:rsidR="00702ED9" w:rsidRPr="00CB1460">
        <w:rPr>
          <w:rFonts w:asciiTheme="minorHAnsi" w:hAnsiTheme="minorHAnsi"/>
        </w:rPr>
        <w:t xml:space="preserve">the </w:t>
      </w:r>
      <w:r w:rsidR="00F76FE8" w:rsidRPr="00CB1460">
        <w:rPr>
          <w:rFonts w:asciiTheme="minorHAnsi" w:hAnsiTheme="minorHAnsi"/>
        </w:rPr>
        <w:t>2008 financial crisis</w:t>
      </w:r>
      <w:r w:rsidR="00842B5E" w:rsidRPr="00CB1460">
        <w:rPr>
          <w:rFonts w:asciiTheme="minorHAnsi" w:hAnsiTheme="minorHAnsi"/>
        </w:rPr>
        <w:t xml:space="preserve"> and its associated Great Recession represent the big con. </w:t>
      </w:r>
      <w:r w:rsidR="00C776D5" w:rsidRPr="00CB1460">
        <w:rPr>
          <w:rFonts w:asciiTheme="minorHAnsi" w:hAnsiTheme="minorHAnsi"/>
        </w:rPr>
        <w:t xml:space="preserve">Like the movie </w:t>
      </w:r>
      <w:r w:rsidR="00C776D5" w:rsidRPr="00CB1460">
        <w:rPr>
          <w:rFonts w:asciiTheme="minorHAnsi" w:hAnsiTheme="minorHAnsi"/>
          <w:i/>
        </w:rPr>
        <w:t>The Big Short</w:t>
      </w:r>
      <w:r w:rsidR="00C776D5" w:rsidRPr="00CB1460">
        <w:rPr>
          <w:rFonts w:asciiTheme="minorHAnsi" w:hAnsiTheme="minorHAnsi"/>
        </w:rPr>
        <w:t xml:space="preserve">, they make bad actors, not intrinsic problems with the </w:t>
      </w:r>
      <w:r w:rsidR="0038526C">
        <w:rPr>
          <w:rFonts w:asciiTheme="minorHAnsi" w:hAnsiTheme="minorHAnsi"/>
        </w:rPr>
        <w:t xml:space="preserve">financial system and the </w:t>
      </w:r>
      <w:r w:rsidR="00C776D5" w:rsidRPr="00CB1460">
        <w:rPr>
          <w:rFonts w:asciiTheme="minorHAnsi" w:hAnsiTheme="minorHAnsi"/>
        </w:rPr>
        <w:t>economy</w:t>
      </w:r>
      <w:r w:rsidR="0038526C">
        <w:rPr>
          <w:rFonts w:asciiTheme="minorHAnsi" w:hAnsiTheme="minorHAnsi"/>
        </w:rPr>
        <w:t>, namely multiple equilibrium,</w:t>
      </w:r>
      <w:r w:rsidR="0078687C">
        <w:rPr>
          <w:rFonts w:asciiTheme="minorHAnsi" w:hAnsiTheme="minorHAnsi"/>
        </w:rPr>
        <w:t xml:space="preserve"> facili</w:t>
      </w:r>
      <w:r w:rsidR="0080718B">
        <w:rPr>
          <w:rFonts w:asciiTheme="minorHAnsi" w:hAnsiTheme="minorHAnsi"/>
        </w:rPr>
        <w:t>tated by leverage and opacity,</w:t>
      </w:r>
      <w:r w:rsidR="00C776D5" w:rsidRPr="00CB1460">
        <w:rPr>
          <w:rFonts w:asciiTheme="minorHAnsi" w:hAnsiTheme="minorHAnsi"/>
        </w:rPr>
        <w:t xml:space="preserve"> the culprits. </w:t>
      </w:r>
    </w:p>
    <w:p w14:paraId="36F90FDF" w14:textId="77777777" w:rsidR="004339DE" w:rsidRPr="00CB1460" w:rsidRDefault="004339DE" w:rsidP="006E3A7A">
      <w:pPr>
        <w:jc w:val="both"/>
        <w:rPr>
          <w:rFonts w:asciiTheme="minorHAnsi" w:hAnsiTheme="minorHAnsi"/>
        </w:rPr>
      </w:pPr>
    </w:p>
    <w:p w14:paraId="15F15801" w14:textId="78D2940A" w:rsidR="00FB76EA" w:rsidRDefault="00C776D5" w:rsidP="006E3A7A">
      <w:pPr>
        <w:jc w:val="both"/>
        <w:rPr>
          <w:rFonts w:asciiTheme="minorHAnsi" w:hAnsiTheme="minorHAnsi"/>
        </w:rPr>
      </w:pPr>
      <w:r w:rsidRPr="00CB1460">
        <w:rPr>
          <w:rFonts w:asciiTheme="minorHAnsi" w:hAnsiTheme="minorHAnsi"/>
        </w:rPr>
        <w:t>B</w:t>
      </w:r>
      <w:r w:rsidR="00FB76EA" w:rsidRPr="00CB1460">
        <w:rPr>
          <w:rFonts w:asciiTheme="minorHAnsi" w:hAnsiTheme="minorHAnsi"/>
        </w:rPr>
        <w:t>ad/greedy/lazy/irresponsible</w:t>
      </w:r>
      <w:r w:rsidRPr="00CB1460">
        <w:rPr>
          <w:rFonts w:asciiTheme="minorHAnsi" w:hAnsiTheme="minorHAnsi"/>
        </w:rPr>
        <w:t xml:space="preserve"> actors, we’re told, engaged in all manner of financial malfeasance, risk taking, negligence, theft and greed. </w:t>
      </w:r>
      <w:r w:rsidR="00FB76EA" w:rsidRPr="00CB1460">
        <w:rPr>
          <w:rFonts w:asciiTheme="minorHAnsi" w:hAnsiTheme="minorHAnsi"/>
        </w:rPr>
        <w:t>And what we’re told is true. There were plenty of bad actors – enough</w:t>
      </w:r>
      <w:r w:rsidR="007D1241" w:rsidRPr="00CB1460">
        <w:rPr>
          <w:rFonts w:asciiTheme="minorHAnsi" w:hAnsiTheme="minorHAnsi"/>
        </w:rPr>
        <w:t xml:space="preserve"> to fill up </w:t>
      </w:r>
      <w:r w:rsidR="00FB76EA" w:rsidRPr="00CB1460">
        <w:rPr>
          <w:rFonts w:asciiTheme="minorHAnsi" w:hAnsiTheme="minorHAnsi"/>
        </w:rPr>
        <w:t>hundreds</w:t>
      </w:r>
      <w:r w:rsidR="007D1241" w:rsidRPr="00CB1460">
        <w:rPr>
          <w:rFonts w:asciiTheme="minorHAnsi" w:hAnsiTheme="minorHAnsi"/>
        </w:rPr>
        <w:t xml:space="preserve"> of books and movie scripts. But the story of these bad actors is not the real story of the Great Recession. The real story is that both the economy and the banking system are inherently unstable. They are unstable due to </w:t>
      </w:r>
      <w:r w:rsidR="00222CB0" w:rsidRPr="00CB1460">
        <w:rPr>
          <w:rFonts w:asciiTheme="minorHAnsi" w:hAnsiTheme="minorHAnsi"/>
        </w:rPr>
        <w:t xml:space="preserve">expectations-driven multiple equilibria. If enough people think enough people think a bank is going down, that bank will go down regardless of its true condition. If enough people think the economy is going down, the economy will go down, also regardless of its true condition. </w:t>
      </w:r>
    </w:p>
    <w:p w14:paraId="35AEEA75" w14:textId="77777777" w:rsidR="002A6046" w:rsidRDefault="002A6046" w:rsidP="006E3A7A">
      <w:pPr>
        <w:jc w:val="both"/>
        <w:rPr>
          <w:rFonts w:asciiTheme="minorHAnsi" w:hAnsiTheme="minorHAnsi"/>
        </w:rPr>
      </w:pPr>
    </w:p>
    <w:p w14:paraId="2D7D29E3" w14:textId="69B1608D" w:rsidR="00731EDB" w:rsidRDefault="00D13295" w:rsidP="00D13295">
      <w:pPr>
        <w:jc w:val="both"/>
        <w:rPr>
          <w:rFonts w:asciiTheme="minorHAnsi" w:hAnsiTheme="minorHAnsi"/>
        </w:rPr>
      </w:pPr>
      <w:r>
        <w:rPr>
          <w:rFonts w:asciiTheme="minorHAnsi" w:hAnsiTheme="minorHAnsi"/>
        </w:rPr>
        <w:t xml:space="preserve">One approach </w:t>
      </w:r>
      <w:r w:rsidR="002A6046">
        <w:rPr>
          <w:rFonts w:asciiTheme="minorHAnsi" w:hAnsiTheme="minorHAnsi"/>
        </w:rPr>
        <w:t>to addressing the problem of financial multiple equilibrium is to re</w:t>
      </w:r>
      <w:r>
        <w:rPr>
          <w:rFonts w:asciiTheme="minorHAnsi" w:hAnsiTheme="minorHAnsi"/>
        </w:rPr>
        <w:t xml:space="preserve">place Dodd-Frank with more fundamental </w:t>
      </w:r>
      <w:r w:rsidR="002A6046">
        <w:rPr>
          <w:rFonts w:asciiTheme="minorHAnsi" w:hAnsiTheme="minorHAnsi"/>
        </w:rPr>
        <w:t xml:space="preserve">financial </w:t>
      </w:r>
      <w:r>
        <w:rPr>
          <w:rFonts w:asciiTheme="minorHAnsi" w:hAnsiTheme="minorHAnsi"/>
        </w:rPr>
        <w:t xml:space="preserve">reform, such as </w:t>
      </w:r>
      <w:r w:rsidR="002A6046">
        <w:rPr>
          <w:rFonts w:asciiTheme="minorHAnsi" w:hAnsiTheme="minorHAnsi"/>
        </w:rPr>
        <w:t>Kotlikoff (2010)’s Limite</w:t>
      </w:r>
      <w:r>
        <w:rPr>
          <w:rFonts w:asciiTheme="minorHAnsi" w:hAnsiTheme="minorHAnsi"/>
        </w:rPr>
        <w:t>d Purpose Banking (LPB). LPB would transform all financial corporations into 100 percent equity-financed mutual fund holdi</w:t>
      </w:r>
      <w:r w:rsidR="00FF5E58">
        <w:rPr>
          <w:rFonts w:asciiTheme="minorHAnsi" w:hAnsiTheme="minorHAnsi"/>
        </w:rPr>
        <w:t>ng companies subject to full</w:t>
      </w:r>
      <w:bookmarkStart w:id="0" w:name="_GoBack"/>
      <w:bookmarkEnd w:id="0"/>
      <w:r>
        <w:rPr>
          <w:rFonts w:asciiTheme="minorHAnsi" w:hAnsiTheme="minorHAnsi"/>
        </w:rPr>
        <w:t xml:space="preserve"> and real-time disclosure supervised by the government. </w:t>
      </w:r>
    </w:p>
    <w:p w14:paraId="1EB53EE1" w14:textId="77777777" w:rsidR="00D13295" w:rsidRDefault="00D13295">
      <w:pPr>
        <w:rPr>
          <w:rFonts w:asciiTheme="minorHAnsi" w:hAnsiTheme="minorHAnsi"/>
          <w:b/>
        </w:rPr>
      </w:pPr>
      <w:r>
        <w:rPr>
          <w:rFonts w:asciiTheme="minorHAnsi" w:hAnsiTheme="minorHAnsi"/>
          <w:b/>
        </w:rPr>
        <w:br w:type="page"/>
      </w:r>
    </w:p>
    <w:p w14:paraId="7A740FAB" w14:textId="42966533" w:rsidR="00F15430" w:rsidRPr="00731EDB" w:rsidRDefault="006B19B3" w:rsidP="006B19B3">
      <w:pPr>
        <w:jc w:val="center"/>
        <w:rPr>
          <w:rFonts w:asciiTheme="minorHAnsi" w:hAnsiTheme="minorHAnsi"/>
          <w:b/>
        </w:rPr>
      </w:pPr>
      <w:r w:rsidRPr="00731EDB">
        <w:rPr>
          <w:rFonts w:asciiTheme="minorHAnsi" w:hAnsiTheme="minorHAnsi"/>
          <w:b/>
        </w:rPr>
        <w:lastRenderedPageBreak/>
        <w:t>References</w:t>
      </w:r>
    </w:p>
    <w:p w14:paraId="5468E567" w14:textId="77777777" w:rsidR="00B6032F" w:rsidRPr="00CB1460" w:rsidRDefault="00B6032F" w:rsidP="006B19B3">
      <w:pPr>
        <w:jc w:val="center"/>
        <w:rPr>
          <w:rFonts w:asciiTheme="minorHAnsi" w:hAnsiTheme="minorHAnsi"/>
        </w:rPr>
      </w:pPr>
    </w:p>
    <w:p w14:paraId="5735825A" w14:textId="78C1B80A" w:rsidR="00B6032F" w:rsidRPr="00CB1460" w:rsidRDefault="00B6032F" w:rsidP="005E100A">
      <w:pPr>
        <w:jc w:val="both"/>
        <w:rPr>
          <w:rFonts w:asciiTheme="minorHAnsi" w:eastAsia="Times New Roman" w:hAnsiTheme="minorHAnsi" w:cs="Arial"/>
          <w:color w:val="222222"/>
          <w:shd w:val="clear" w:color="auto" w:fill="FFFFFF"/>
        </w:rPr>
      </w:pPr>
      <w:r w:rsidRPr="00CB1460">
        <w:rPr>
          <w:rFonts w:asciiTheme="minorHAnsi" w:eastAsia="Times New Roman" w:hAnsiTheme="minorHAnsi" w:cs="Arial"/>
          <w:color w:val="222222"/>
          <w:shd w:val="clear" w:color="auto" w:fill="FFFFFF"/>
        </w:rPr>
        <w:t>Bebchuk, Lucian A., and Itay Goldstein. "Self-fulfilling credit market freezes." </w:t>
      </w:r>
      <w:r w:rsidRPr="00CB1460">
        <w:rPr>
          <w:rFonts w:asciiTheme="minorHAnsi" w:eastAsia="Times New Roman" w:hAnsiTheme="minorHAnsi" w:cs="Arial"/>
          <w:i/>
          <w:iCs/>
          <w:color w:val="222222"/>
          <w:shd w:val="clear" w:color="auto" w:fill="FFFFFF"/>
        </w:rPr>
        <w:t>The Review of Financial Studies</w:t>
      </w:r>
      <w:r w:rsidRPr="00CB1460">
        <w:rPr>
          <w:rFonts w:asciiTheme="minorHAnsi" w:eastAsia="Times New Roman" w:hAnsiTheme="minorHAnsi" w:cs="Arial"/>
          <w:color w:val="222222"/>
          <w:shd w:val="clear" w:color="auto" w:fill="FFFFFF"/>
        </w:rPr>
        <w:t> 24, no. 11 (2011): 3519-3555.</w:t>
      </w:r>
    </w:p>
    <w:p w14:paraId="5AD92464" w14:textId="77777777" w:rsidR="00950712" w:rsidRPr="00CB1460" w:rsidRDefault="00950712" w:rsidP="005E100A">
      <w:pPr>
        <w:jc w:val="both"/>
        <w:rPr>
          <w:rFonts w:asciiTheme="minorHAnsi" w:eastAsia="Times New Roman" w:hAnsiTheme="minorHAnsi" w:cs="Arial"/>
          <w:color w:val="222222"/>
          <w:shd w:val="clear" w:color="auto" w:fill="FFFFFF"/>
        </w:rPr>
      </w:pPr>
    </w:p>
    <w:p w14:paraId="5755FE06" w14:textId="1F246DE5" w:rsidR="00950712" w:rsidRPr="00CB1460" w:rsidRDefault="00950712" w:rsidP="00333602">
      <w:pPr>
        <w:jc w:val="both"/>
        <w:rPr>
          <w:rFonts w:asciiTheme="minorHAnsi" w:eastAsia="Times New Roman" w:hAnsiTheme="minorHAnsi" w:cs="Arial"/>
          <w:color w:val="222222"/>
          <w:shd w:val="clear" w:color="auto" w:fill="FFFFFF"/>
        </w:rPr>
      </w:pPr>
      <w:r w:rsidRPr="00950712">
        <w:rPr>
          <w:rFonts w:asciiTheme="minorHAnsi" w:eastAsia="Times New Roman" w:hAnsiTheme="minorHAnsi" w:cs="Arial"/>
          <w:color w:val="222222"/>
          <w:shd w:val="clear" w:color="auto" w:fill="FFFFFF"/>
        </w:rPr>
        <w:t>Bikhchandani, Sushil, David Hirshleifer, and Ivo Welch. "A theory of fads, fashion, custom, and cultural change as informational cascades." </w:t>
      </w:r>
      <w:r w:rsidRPr="00950712">
        <w:rPr>
          <w:rFonts w:asciiTheme="minorHAnsi" w:eastAsia="Times New Roman" w:hAnsiTheme="minorHAnsi" w:cs="Arial"/>
          <w:i/>
          <w:iCs/>
          <w:color w:val="222222"/>
          <w:shd w:val="clear" w:color="auto" w:fill="FFFFFF"/>
        </w:rPr>
        <w:t>Journal of political Economy</w:t>
      </w:r>
      <w:r w:rsidRPr="00950712">
        <w:rPr>
          <w:rFonts w:asciiTheme="minorHAnsi" w:eastAsia="Times New Roman" w:hAnsiTheme="minorHAnsi" w:cs="Arial"/>
          <w:color w:val="222222"/>
          <w:shd w:val="clear" w:color="auto" w:fill="FFFFFF"/>
        </w:rPr>
        <w:t> 100, no. 5 (1992): 992-1026.</w:t>
      </w:r>
    </w:p>
    <w:p w14:paraId="345B6570" w14:textId="77777777" w:rsidR="00B9302C" w:rsidRPr="00CB1460" w:rsidRDefault="00B9302C" w:rsidP="00333602">
      <w:pPr>
        <w:jc w:val="both"/>
        <w:rPr>
          <w:rFonts w:asciiTheme="minorHAnsi" w:eastAsia="Times New Roman" w:hAnsiTheme="minorHAnsi" w:cs="Arial"/>
          <w:color w:val="222222"/>
          <w:shd w:val="clear" w:color="auto" w:fill="FFFFFF"/>
        </w:rPr>
      </w:pPr>
    </w:p>
    <w:p w14:paraId="314F3DA6" w14:textId="24D772F0" w:rsidR="00B9302C" w:rsidRDefault="00B9302C" w:rsidP="00B9302C">
      <w:pPr>
        <w:jc w:val="both"/>
        <w:rPr>
          <w:rFonts w:asciiTheme="minorHAnsi" w:eastAsia="Times New Roman" w:hAnsiTheme="minorHAnsi" w:cs="Arial"/>
          <w:color w:val="222222"/>
          <w:shd w:val="clear" w:color="auto" w:fill="FFFFFF"/>
        </w:rPr>
      </w:pPr>
      <w:r w:rsidRPr="00CB1460">
        <w:rPr>
          <w:rFonts w:asciiTheme="minorHAnsi" w:eastAsia="Times New Roman" w:hAnsiTheme="minorHAnsi" w:cs="Arial"/>
          <w:color w:val="222222"/>
          <w:shd w:val="clear" w:color="auto" w:fill="FFFFFF"/>
        </w:rPr>
        <w:t>Bryant, John. "A model of reserves, bank runs, and deposit insurance." </w:t>
      </w:r>
      <w:r w:rsidRPr="00CB1460">
        <w:rPr>
          <w:rFonts w:asciiTheme="minorHAnsi" w:eastAsia="Times New Roman" w:hAnsiTheme="minorHAnsi" w:cs="Arial"/>
          <w:i/>
          <w:iCs/>
          <w:color w:val="222222"/>
          <w:shd w:val="clear" w:color="auto" w:fill="FFFFFF"/>
        </w:rPr>
        <w:t>Journal of banking &amp; finance</w:t>
      </w:r>
      <w:r w:rsidRPr="00CB1460">
        <w:rPr>
          <w:rFonts w:asciiTheme="minorHAnsi" w:eastAsia="Times New Roman" w:hAnsiTheme="minorHAnsi" w:cs="Arial"/>
          <w:color w:val="222222"/>
          <w:shd w:val="clear" w:color="auto" w:fill="FFFFFF"/>
        </w:rPr>
        <w:t> 4, no. 4 (1980): 335-344.</w:t>
      </w:r>
    </w:p>
    <w:p w14:paraId="14CA5FD4" w14:textId="77777777" w:rsidR="008066F8" w:rsidRDefault="008066F8" w:rsidP="00B9302C">
      <w:pPr>
        <w:jc w:val="both"/>
        <w:rPr>
          <w:rFonts w:asciiTheme="minorHAnsi" w:eastAsia="Times New Roman" w:hAnsiTheme="minorHAnsi" w:cs="Arial"/>
          <w:color w:val="222222"/>
          <w:shd w:val="clear" w:color="auto" w:fill="FFFFFF"/>
        </w:rPr>
      </w:pPr>
    </w:p>
    <w:p w14:paraId="3932E45A" w14:textId="77777777" w:rsidR="008066F8" w:rsidRDefault="008066F8" w:rsidP="008066F8">
      <w:pPr>
        <w:jc w:val="both"/>
        <w:rPr>
          <w:rFonts w:asciiTheme="minorHAnsi" w:eastAsia="Times New Roman" w:hAnsiTheme="minorHAnsi" w:cs="Arial"/>
          <w:color w:val="222222"/>
          <w:shd w:val="clear" w:color="auto" w:fill="FFFFFF"/>
        </w:rPr>
      </w:pPr>
      <w:r w:rsidRPr="008066F8">
        <w:rPr>
          <w:rFonts w:asciiTheme="minorHAnsi" w:eastAsia="Times New Roman" w:hAnsiTheme="minorHAnsi" w:cs="Arial"/>
          <w:color w:val="222222"/>
          <w:shd w:val="clear" w:color="auto" w:fill="FFFFFF"/>
        </w:rPr>
        <w:t>Chamley, Christophe. </w:t>
      </w:r>
      <w:r w:rsidRPr="008066F8">
        <w:rPr>
          <w:rFonts w:asciiTheme="minorHAnsi" w:eastAsia="Times New Roman" w:hAnsiTheme="minorHAnsi" w:cs="Arial"/>
          <w:i/>
          <w:iCs/>
          <w:color w:val="222222"/>
          <w:shd w:val="clear" w:color="auto" w:fill="FFFFFF"/>
        </w:rPr>
        <w:t>Rational herds: Economic models of social learning</w:t>
      </w:r>
      <w:r w:rsidRPr="008066F8">
        <w:rPr>
          <w:rFonts w:asciiTheme="minorHAnsi" w:eastAsia="Times New Roman" w:hAnsiTheme="minorHAnsi" w:cs="Arial"/>
          <w:color w:val="222222"/>
          <w:shd w:val="clear" w:color="auto" w:fill="FFFFFF"/>
        </w:rPr>
        <w:t>. Cambridge University Press, 2004.</w:t>
      </w:r>
    </w:p>
    <w:p w14:paraId="75410251" w14:textId="77777777" w:rsidR="000E5180" w:rsidRDefault="000E5180" w:rsidP="008066F8">
      <w:pPr>
        <w:jc w:val="both"/>
        <w:rPr>
          <w:rFonts w:asciiTheme="minorHAnsi" w:eastAsia="Times New Roman" w:hAnsiTheme="minorHAnsi" w:cs="Arial"/>
          <w:color w:val="222222"/>
          <w:shd w:val="clear" w:color="auto" w:fill="FFFFFF"/>
        </w:rPr>
      </w:pPr>
    </w:p>
    <w:p w14:paraId="5473AD5F" w14:textId="77777777" w:rsidR="000E5180" w:rsidRDefault="000E5180" w:rsidP="000E5180">
      <w:pPr>
        <w:jc w:val="both"/>
        <w:rPr>
          <w:rFonts w:asciiTheme="minorHAnsi" w:eastAsia="Times New Roman" w:hAnsiTheme="minorHAnsi" w:cs="Arial"/>
          <w:color w:val="222222"/>
          <w:shd w:val="clear" w:color="auto" w:fill="FFFFFF"/>
        </w:rPr>
      </w:pPr>
      <w:r w:rsidRPr="000E5180">
        <w:rPr>
          <w:rFonts w:asciiTheme="minorHAnsi" w:eastAsia="Times New Roman" w:hAnsiTheme="minorHAnsi" w:cs="Arial"/>
          <w:color w:val="222222"/>
          <w:shd w:val="clear" w:color="auto" w:fill="FFFFFF"/>
        </w:rPr>
        <w:t>Cohan, William D. </w:t>
      </w:r>
      <w:r w:rsidRPr="000E5180">
        <w:rPr>
          <w:rFonts w:asciiTheme="minorHAnsi" w:eastAsia="Times New Roman" w:hAnsiTheme="minorHAnsi" w:cs="Arial"/>
          <w:i/>
          <w:iCs/>
          <w:color w:val="222222"/>
          <w:shd w:val="clear" w:color="auto" w:fill="FFFFFF"/>
        </w:rPr>
        <w:t>House of cards: A tale of hubris and wretched excess on Wall Street</w:t>
      </w:r>
      <w:r w:rsidRPr="000E5180">
        <w:rPr>
          <w:rFonts w:asciiTheme="minorHAnsi" w:eastAsia="Times New Roman" w:hAnsiTheme="minorHAnsi" w:cs="Arial"/>
          <w:color w:val="222222"/>
          <w:shd w:val="clear" w:color="auto" w:fill="FFFFFF"/>
        </w:rPr>
        <w:t>. Anchor, 2010.</w:t>
      </w:r>
    </w:p>
    <w:p w14:paraId="6254C584" w14:textId="77777777" w:rsidR="00F80275" w:rsidRDefault="00F80275" w:rsidP="000E5180">
      <w:pPr>
        <w:jc w:val="both"/>
        <w:rPr>
          <w:rFonts w:asciiTheme="minorHAnsi" w:eastAsia="Times New Roman" w:hAnsiTheme="minorHAnsi" w:cs="Arial"/>
          <w:color w:val="222222"/>
          <w:shd w:val="clear" w:color="auto" w:fill="FFFFFF"/>
        </w:rPr>
      </w:pPr>
    </w:p>
    <w:p w14:paraId="79D2C047" w14:textId="77777777" w:rsidR="00F80275" w:rsidRPr="00F80275" w:rsidRDefault="00F80275" w:rsidP="00F80275">
      <w:pPr>
        <w:jc w:val="both"/>
        <w:rPr>
          <w:rFonts w:ascii="Calibri" w:eastAsia="Times New Roman" w:hAnsi="Calibri"/>
        </w:rPr>
      </w:pPr>
      <w:r w:rsidRPr="00F80275">
        <w:rPr>
          <w:rFonts w:ascii="Calibri" w:eastAsia="Times New Roman" w:hAnsi="Calibri" w:cs="Arial"/>
          <w:color w:val="222222"/>
          <w:shd w:val="clear" w:color="auto" w:fill="FFFFFF"/>
        </w:rPr>
        <w:t>Dang, Tri Vi, Gary Gorton, Bengt Holmström, and Guillermo Ordonez. "Banks as secret keepers." </w:t>
      </w:r>
      <w:r w:rsidRPr="00F80275">
        <w:rPr>
          <w:rFonts w:ascii="Calibri" w:eastAsia="Times New Roman" w:hAnsi="Calibri" w:cs="Arial"/>
          <w:i/>
          <w:iCs/>
          <w:color w:val="222222"/>
          <w:shd w:val="clear" w:color="auto" w:fill="FFFFFF"/>
        </w:rPr>
        <w:t>American Economic Review</w:t>
      </w:r>
      <w:r w:rsidRPr="00F80275">
        <w:rPr>
          <w:rFonts w:ascii="Calibri" w:eastAsia="Times New Roman" w:hAnsi="Calibri" w:cs="Arial"/>
          <w:color w:val="222222"/>
          <w:shd w:val="clear" w:color="auto" w:fill="FFFFFF"/>
        </w:rPr>
        <w:t> 107, no. 4 (2017): 1005-29.</w:t>
      </w:r>
    </w:p>
    <w:p w14:paraId="77049198" w14:textId="77777777" w:rsidR="005366B8" w:rsidRPr="00F80275" w:rsidRDefault="005366B8" w:rsidP="00F80275">
      <w:pPr>
        <w:jc w:val="both"/>
        <w:rPr>
          <w:rFonts w:ascii="Calibri" w:hAnsi="Calibri"/>
        </w:rPr>
      </w:pPr>
    </w:p>
    <w:p w14:paraId="458F5A6B" w14:textId="77777777" w:rsidR="00AE55CD" w:rsidRDefault="00AE55CD" w:rsidP="005E100A">
      <w:pPr>
        <w:jc w:val="both"/>
        <w:rPr>
          <w:rFonts w:asciiTheme="minorHAnsi" w:eastAsia="Times New Roman" w:hAnsiTheme="minorHAnsi" w:cs="Arial"/>
          <w:color w:val="222222"/>
          <w:shd w:val="clear" w:color="auto" w:fill="FFFFFF"/>
        </w:rPr>
      </w:pPr>
      <w:r w:rsidRPr="00CB1460">
        <w:rPr>
          <w:rFonts w:asciiTheme="minorHAnsi" w:eastAsia="Times New Roman" w:hAnsiTheme="minorHAnsi" w:cs="Arial"/>
          <w:color w:val="222222"/>
          <w:shd w:val="clear" w:color="auto" w:fill="FFFFFF"/>
        </w:rPr>
        <w:t>Diamond, Douglas W., and Philip H. Dybvig. "Bank runs, deposit insurance, and liquidity." </w:t>
      </w:r>
      <w:r w:rsidRPr="00CB1460">
        <w:rPr>
          <w:rFonts w:asciiTheme="minorHAnsi" w:eastAsia="Times New Roman" w:hAnsiTheme="minorHAnsi" w:cs="Arial"/>
          <w:i/>
          <w:iCs/>
          <w:color w:val="222222"/>
          <w:shd w:val="clear" w:color="auto" w:fill="FFFFFF"/>
        </w:rPr>
        <w:t>Journal of political economy</w:t>
      </w:r>
      <w:r w:rsidRPr="00CB1460">
        <w:rPr>
          <w:rFonts w:asciiTheme="minorHAnsi" w:eastAsia="Times New Roman" w:hAnsiTheme="minorHAnsi" w:cs="Arial"/>
          <w:color w:val="222222"/>
          <w:shd w:val="clear" w:color="auto" w:fill="FFFFFF"/>
        </w:rPr>
        <w:t>91, no. 3 (1983): 401-419.</w:t>
      </w:r>
    </w:p>
    <w:p w14:paraId="4B999402" w14:textId="77777777" w:rsidR="00812A41" w:rsidRDefault="00812A41" w:rsidP="005E100A">
      <w:pPr>
        <w:jc w:val="both"/>
        <w:rPr>
          <w:rFonts w:asciiTheme="minorHAnsi" w:eastAsia="Times New Roman" w:hAnsiTheme="minorHAnsi" w:cs="Arial"/>
          <w:color w:val="222222"/>
          <w:shd w:val="clear" w:color="auto" w:fill="FFFFFF"/>
        </w:rPr>
      </w:pPr>
    </w:p>
    <w:p w14:paraId="5DCFFBCC" w14:textId="68B2E892" w:rsidR="00812A41" w:rsidRPr="00812A41" w:rsidRDefault="00812A41" w:rsidP="005E100A">
      <w:pPr>
        <w:jc w:val="both"/>
        <w:rPr>
          <w:rFonts w:asciiTheme="minorHAnsi" w:eastAsia="Times New Roman" w:hAnsiTheme="minorHAnsi"/>
        </w:rPr>
      </w:pPr>
      <w:r w:rsidRPr="00812A41">
        <w:rPr>
          <w:rFonts w:asciiTheme="minorHAnsi" w:eastAsia="Times New Roman" w:hAnsiTheme="minorHAnsi" w:cs="Arial"/>
          <w:color w:val="222222"/>
          <w:shd w:val="clear" w:color="auto" w:fill="FFFFFF"/>
        </w:rPr>
        <w:t>Fotak, Veljko, Vikas Raman, and Pradeep K. Yadav. "Fails-to-deliver, short selling, and market quality." </w:t>
      </w:r>
      <w:r w:rsidRPr="00812A41">
        <w:rPr>
          <w:rFonts w:asciiTheme="minorHAnsi" w:eastAsia="Times New Roman" w:hAnsiTheme="minorHAnsi" w:cs="Arial"/>
          <w:i/>
          <w:iCs/>
          <w:color w:val="222222"/>
          <w:shd w:val="clear" w:color="auto" w:fill="FFFFFF"/>
        </w:rPr>
        <w:t>Journal of Financial Economics</w:t>
      </w:r>
      <w:r w:rsidRPr="00812A41">
        <w:rPr>
          <w:rFonts w:asciiTheme="minorHAnsi" w:eastAsia="Times New Roman" w:hAnsiTheme="minorHAnsi" w:cs="Arial"/>
          <w:color w:val="222222"/>
          <w:shd w:val="clear" w:color="auto" w:fill="FFFFFF"/>
        </w:rPr>
        <w:t> 114, no. 3 (2014): 493-516.</w:t>
      </w:r>
    </w:p>
    <w:p w14:paraId="582807D8" w14:textId="77777777" w:rsidR="00F832F7" w:rsidRPr="00CB1460" w:rsidRDefault="00F832F7" w:rsidP="005E100A">
      <w:pPr>
        <w:jc w:val="both"/>
        <w:rPr>
          <w:rFonts w:asciiTheme="minorHAnsi" w:eastAsia="Times New Roman" w:hAnsiTheme="minorHAnsi" w:cs="Arial"/>
          <w:color w:val="222222"/>
          <w:shd w:val="clear" w:color="auto" w:fill="FFFFFF"/>
        </w:rPr>
      </w:pPr>
    </w:p>
    <w:p w14:paraId="12C1D13F" w14:textId="7F422890" w:rsidR="00F832F7" w:rsidRPr="00CB1460" w:rsidRDefault="00F832F7" w:rsidP="005E100A">
      <w:pPr>
        <w:jc w:val="both"/>
        <w:rPr>
          <w:rFonts w:asciiTheme="minorHAnsi" w:eastAsia="Times New Roman" w:hAnsiTheme="minorHAnsi" w:cs="Arial"/>
          <w:color w:val="222222"/>
          <w:shd w:val="clear" w:color="auto" w:fill="FFFFFF"/>
        </w:rPr>
      </w:pPr>
      <w:r w:rsidRPr="00CB1460">
        <w:rPr>
          <w:rFonts w:asciiTheme="minorHAnsi" w:eastAsia="Times New Roman" w:hAnsiTheme="minorHAnsi" w:cs="Arial"/>
          <w:color w:val="222222"/>
          <w:shd w:val="clear" w:color="auto" w:fill="FFFFFF"/>
        </w:rPr>
        <w:t>French, Kenneth, Martin Baily, John Campbell, John Cochrane, Douglas Diamond, Darrell Duffie, Anil Kashyap et al. "The Squam Lake report: fixing the financial system." </w:t>
      </w:r>
      <w:r w:rsidRPr="00CB1460">
        <w:rPr>
          <w:rFonts w:asciiTheme="minorHAnsi" w:eastAsia="Times New Roman" w:hAnsiTheme="minorHAnsi" w:cs="Arial"/>
          <w:i/>
          <w:iCs/>
          <w:color w:val="222222"/>
          <w:shd w:val="clear" w:color="auto" w:fill="FFFFFF"/>
        </w:rPr>
        <w:t>Journal of Applied Corporate Finance</w:t>
      </w:r>
      <w:r w:rsidRPr="00CB1460">
        <w:rPr>
          <w:rFonts w:asciiTheme="minorHAnsi" w:eastAsia="Times New Roman" w:hAnsiTheme="minorHAnsi" w:cs="Arial"/>
          <w:color w:val="222222"/>
          <w:shd w:val="clear" w:color="auto" w:fill="FFFFFF"/>
        </w:rPr>
        <w:t> 22, no. 3 (2010): 8-21.</w:t>
      </w:r>
    </w:p>
    <w:p w14:paraId="722EC4AA" w14:textId="77777777" w:rsidR="0030607A" w:rsidRPr="00CB1460" w:rsidRDefault="0030607A" w:rsidP="0030607A">
      <w:pPr>
        <w:jc w:val="both"/>
        <w:rPr>
          <w:rFonts w:asciiTheme="minorHAnsi" w:eastAsia="Times New Roman" w:hAnsiTheme="minorHAnsi" w:cs="Arial"/>
          <w:color w:val="222222"/>
          <w:shd w:val="clear" w:color="auto" w:fill="FFFFFF"/>
        </w:rPr>
      </w:pPr>
    </w:p>
    <w:p w14:paraId="073BAF63" w14:textId="45D7B26F" w:rsidR="0030607A" w:rsidRPr="00CB1460" w:rsidRDefault="0030607A" w:rsidP="0030607A">
      <w:pPr>
        <w:jc w:val="both"/>
        <w:rPr>
          <w:rFonts w:asciiTheme="minorHAnsi" w:eastAsia="Times New Roman" w:hAnsiTheme="minorHAnsi"/>
        </w:rPr>
      </w:pPr>
      <w:r w:rsidRPr="00CB1460">
        <w:rPr>
          <w:rFonts w:asciiTheme="minorHAnsi" w:eastAsia="Times New Roman" w:hAnsiTheme="minorHAnsi" w:cs="Arial"/>
          <w:color w:val="222222"/>
          <w:shd w:val="clear" w:color="auto" w:fill="FFFFFF"/>
        </w:rPr>
        <w:t>Goldstein, Itay, and Ady Pauzner. "Demand–deposit contracts and the probability of bank runs." </w:t>
      </w:r>
      <w:r w:rsidRPr="00CB1460">
        <w:rPr>
          <w:rFonts w:asciiTheme="minorHAnsi" w:eastAsia="Times New Roman" w:hAnsiTheme="minorHAnsi" w:cs="Arial"/>
          <w:i/>
          <w:iCs/>
          <w:color w:val="222222"/>
          <w:shd w:val="clear" w:color="auto" w:fill="FFFFFF"/>
        </w:rPr>
        <w:t>the Journal of Finance</w:t>
      </w:r>
      <w:r w:rsidRPr="00CB1460">
        <w:rPr>
          <w:rFonts w:asciiTheme="minorHAnsi" w:eastAsia="Times New Roman" w:hAnsiTheme="minorHAnsi" w:cs="Arial"/>
          <w:color w:val="222222"/>
          <w:shd w:val="clear" w:color="auto" w:fill="FFFFFF"/>
        </w:rPr>
        <w:t> 60, no. 3 (2005): 1293-1327.</w:t>
      </w:r>
    </w:p>
    <w:p w14:paraId="24EFE954" w14:textId="77777777" w:rsidR="00AE55CD" w:rsidRDefault="00AE55CD" w:rsidP="0030607A">
      <w:pPr>
        <w:jc w:val="both"/>
        <w:rPr>
          <w:rFonts w:asciiTheme="minorHAnsi" w:hAnsiTheme="minorHAnsi"/>
        </w:rPr>
      </w:pPr>
    </w:p>
    <w:p w14:paraId="11871315" w14:textId="5193BF8A" w:rsidR="006043DF" w:rsidRPr="006043DF" w:rsidRDefault="006043DF" w:rsidP="006043DF">
      <w:pPr>
        <w:rPr>
          <w:rFonts w:asciiTheme="minorHAnsi" w:eastAsia="Times New Roman" w:hAnsiTheme="minorHAnsi"/>
        </w:rPr>
      </w:pPr>
      <w:r w:rsidRPr="006043DF">
        <w:rPr>
          <w:rFonts w:asciiTheme="minorHAnsi" w:eastAsia="Times New Roman" w:hAnsiTheme="minorHAnsi" w:cs="Arial"/>
          <w:color w:val="222222"/>
          <w:shd w:val="clear" w:color="auto" w:fill="FFFFFF"/>
        </w:rPr>
        <w:t>Kotlikoff, Laurence J. </w:t>
      </w:r>
      <w:r w:rsidRPr="006043DF">
        <w:rPr>
          <w:rFonts w:asciiTheme="minorHAnsi" w:eastAsia="Times New Roman" w:hAnsiTheme="minorHAnsi" w:cs="Arial"/>
          <w:i/>
          <w:iCs/>
          <w:color w:val="222222"/>
          <w:shd w:val="clear" w:color="auto" w:fill="FFFFFF"/>
        </w:rPr>
        <w:t>Economic Consequences of the Vickers Commission</w:t>
      </w:r>
      <w:r w:rsidRPr="006043DF">
        <w:rPr>
          <w:rFonts w:asciiTheme="minorHAnsi" w:eastAsia="Times New Roman" w:hAnsiTheme="minorHAnsi" w:cs="Arial"/>
          <w:color w:val="222222"/>
          <w:shd w:val="clear" w:color="auto" w:fill="FFFFFF"/>
        </w:rPr>
        <w:t>. Civitas, 2012.</w:t>
      </w:r>
      <w:r>
        <w:rPr>
          <w:rFonts w:asciiTheme="minorHAnsi" w:eastAsia="Times New Roman" w:hAnsiTheme="minorHAnsi" w:cs="Arial"/>
          <w:color w:val="222222"/>
          <w:shd w:val="clear" w:color="auto" w:fill="FFFFFF"/>
        </w:rPr>
        <w:t xml:space="preserve"> (available at www.kotlikoff.net)</w:t>
      </w:r>
    </w:p>
    <w:p w14:paraId="1919E586" w14:textId="77777777" w:rsidR="006043DF" w:rsidRPr="00CB1460" w:rsidRDefault="006043DF" w:rsidP="0030607A">
      <w:pPr>
        <w:jc w:val="both"/>
        <w:rPr>
          <w:rFonts w:asciiTheme="minorHAnsi" w:hAnsiTheme="minorHAnsi"/>
        </w:rPr>
      </w:pPr>
    </w:p>
    <w:p w14:paraId="43DB40EC" w14:textId="77777777" w:rsidR="00500990" w:rsidRDefault="00500990" w:rsidP="00500990">
      <w:pPr>
        <w:jc w:val="both"/>
        <w:rPr>
          <w:rFonts w:asciiTheme="minorHAnsi" w:eastAsia="Times New Roman" w:hAnsiTheme="minorHAnsi" w:cs="Arial"/>
          <w:color w:val="222222"/>
          <w:shd w:val="clear" w:color="auto" w:fill="FFFFFF"/>
        </w:rPr>
      </w:pPr>
      <w:r w:rsidRPr="00CB1460">
        <w:rPr>
          <w:rFonts w:asciiTheme="minorHAnsi" w:eastAsia="Times New Roman" w:hAnsiTheme="minorHAnsi" w:cs="Arial"/>
          <w:color w:val="222222"/>
          <w:shd w:val="clear" w:color="auto" w:fill="FFFFFF"/>
        </w:rPr>
        <w:t>Kotlikoff, Laurence J. </w:t>
      </w:r>
      <w:r w:rsidRPr="00CB1460">
        <w:rPr>
          <w:rFonts w:asciiTheme="minorHAnsi" w:eastAsia="Times New Roman" w:hAnsiTheme="minorHAnsi" w:cs="Arial"/>
          <w:i/>
          <w:iCs/>
          <w:color w:val="222222"/>
          <w:shd w:val="clear" w:color="auto" w:fill="FFFFFF"/>
        </w:rPr>
        <w:t>Jimmy Stewart is dead: Ending the world's ongoing financial plague with limited purpose banking</w:t>
      </w:r>
      <w:r w:rsidRPr="00CB1460">
        <w:rPr>
          <w:rFonts w:asciiTheme="minorHAnsi" w:eastAsia="Times New Roman" w:hAnsiTheme="minorHAnsi" w:cs="Arial"/>
          <w:color w:val="222222"/>
          <w:shd w:val="clear" w:color="auto" w:fill="FFFFFF"/>
        </w:rPr>
        <w:t>. John Wiley &amp; Sons, 2010.</w:t>
      </w:r>
    </w:p>
    <w:p w14:paraId="63B6685A" w14:textId="77777777" w:rsidR="0011221A" w:rsidRDefault="0011221A" w:rsidP="00500990">
      <w:pPr>
        <w:jc w:val="both"/>
        <w:rPr>
          <w:rFonts w:asciiTheme="minorHAnsi" w:eastAsia="Times New Roman" w:hAnsiTheme="minorHAnsi" w:cs="Arial"/>
          <w:color w:val="222222"/>
          <w:shd w:val="clear" w:color="auto" w:fill="FFFFFF"/>
        </w:rPr>
      </w:pPr>
    </w:p>
    <w:p w14:paraId="426B5588" w14:textId="77777777" w:rsidR="00481B1D" w:rsidRPr="00481B1D" w:rsidRDefault="00481B1D" w:rsidP="00481B1D">
      <w:pPr>
        <w:jc w:val="both"/>
        <w:rPr>
          <w:rFonts w:asciiTheme="minorHAnsi" w:eastAsia="Times New Roman" w:hAnsiTheme="minorHAnsi"/>
        </w:rPr>
      </w:pPr>
      <w:r w:rsidRPr="00481B1D">
        <w:rPr>
          <w:rFonts w:asciiTheme="minorHAnsi" w:eastAsia="Times New Roman" w:hAnsiTheme="minorHAnsi" w:cs="Arial"/>
          <w:color w:val="222222"/>
          <w:shd w:val="clear" w:color="auto" w:fill="FFFFFF"/>
        </w:rPr>
        <w:t>Kotlikoff, Laurence J., Torsten Persson, and Lars EO Svensson. "Social contracts as assets: A possible solution to the time-consistency problem." </w:t>
      </w:r>
      <w:r w:rsidRPr="00481B1D">
        <w:rPr>
          <w:rFonts w:asciiTheme="minorHAnsi" w:eastAsia="Times New Roman" w:hAnsiTheme="minorHAnsi" w:cs="Arial"/>
          <w:i/>
          <w:iCs/>
          <w:color w:val="222222"/>
          <w:shd w:val="clear" w:color="auto" w:fill="FFFFFF"/>
        </w:rPr>
        <w:t>The American Economic Review</w:t>
      </w:r>
      <w:r w:rsidRPr="00481B1D">
        <w:rPr>
          <w:rFonts w:asciiTheme="minorHAnsi" w:eastAsia="Times New Roman" w:hAnsiTheme="minorHAnsi" w:cs="Arial"/>
          <w:color w:val="222222"/>
          <w:shd w:val="clear" w:color="auto" w:fill="FFFFFF"/>
        </w:rPr>
        <w:t> (1988): 662-677.</w:t>
      </w:r>
    </w:p>
    <w:p w14:paraId="76725ECD" w14:textId="77777777" w:rsidR="00F63712" w:rsidRPr="00481B1D" w:rsidRDefault="00F63712" w:rsidP="00481B1D">
      <w:pPr>
        <w:jc w:val="both"/>
        <w:rPr>
          <w:rFonts w:asciiTheme="minorHAnsi" w:eastAsia="Times New Roman" w:hAnsiTheme="minorHAnsi" w:cs="Arial"/>
          <w:color w:val="222222"/>
          <w:shd w:val="clear" w:color="auto" w:fill="FFFFFF"/>
        </w:rPr>
      </w:pPr>
    </w:p>
    <w:p w14:paraId="0F4FDFB1" w14:textId="77777777" w:rsidR="00F63712" w:rsidRPr="00F63712" w:rsidRDefault="00F63712" w:rsidP="00F63712">
      <w:pPr>
        <w:jc w:val="both"/>
        <w:rPr>
          <w:rFonts w:asciiTheme="minorHAnsi" w:eastAsia="Times New Roman" w:hAnsiTheme="minorHAnsi"/>
        </w:rPr>
      </w:pPr>
      <w:r w:rsidRPr="00F63712">
        <w:rPr>
          <w:rFonts w:asciiTheme="minorHAnsi" w:eastAsia="Times New Roman" w:hAnsiTheme="minorHAnsi" w:cs="Arial"/>
          <w:color w:val="222222"/>
          <w:shd w:val="clear" w:color="auto" w:fill="FFFFFF"/>
        </w:rPr>
        <w:lastRenderedPageBreak/>
        <w:t>Kotlikoff, Laurence J. "Paul Samuelson’s Amazing Intergenerational Transfer." </w:t>
      </w:r>
      <w:r w:rsidRPr="00F63712">
        <w:rPr>
          <w:rFonts w:asciiTheme="minorHAnsi" w:eastAsia="Times New Roman" w:hAnsiTheme="minorHAnsi" w:cs="Arial"/>
          <w:i/>
          <w:iCs/>
          <w:color w:val="222222"/>
          <w:shd w:val="clear" w:color="auto" w:fill="FFFFFF"/>
        </w:rPr>
        <w:t>Samuelsonian Economics and the twenty-first century</w:t>
      </w:r>
      <w:r w:rsidRPr="00F63712">
        <w:rPr>
          <w:rFonts w:asciiTheme="minorHAnsi" w:eastAsia="Times New Roman" w:hAnsiTheme="minorHAnsi" w:cs="Arial"/>
          <w:color w:val="222222"/>
          <w:shd w:val="clear" w:color="auto" w:fill="FFFFFF"/>
        </w:rPr>
        <w:t> (2006): 42-53.</w:t>
      </w:r>
    </w:p>
    <w:p w14:paraId="175CAA04" w14:textId="77777777" w:rsidR="006B19B3" w:rsidRPr="00CB1460" w:rsidRDefault="006B19B3" w:rsidP="007D0C8F">
      <w:pPr>
        <w:jc w:val="both"/>
        <w:rPr>
          <w:rFonts w:asciiTheme="minorHAnsi" w:eastAsia="Times New Roman" w:hAnsiTheme="minorHAnsi" w:cs="Arial"/>
          <w:color w:val="222222"/>
          <w:shd w:val="clear" w:color="auto" w:fill="FFFFFF"/>
        </w:rPr>
      </w:pPr>
      <w:r w:rsidRPr="00CB1460">
        <w:rPr>
          <w:rFonts w:asciiTheme="minorHAnsi" w:eastAsia="Times New Roman" w:hAnsiTheme="minorHAnsi" w:cs="Arial"/>
          <w:color w:val="222222"/>
          <w:shd w:val="clear" w:color="auto" w:fill="FFFFFF"/>
        </w:rPr>
        <w:t>Lo, Andrew W. "Reading about the financial crisis: A twenty-one-book review." </w:t>
      </w:r>
      <w:r w:rsidRPr="00CB1460">
        <w:rPr>
          <w:rFonts w:asciiTheme="minorHAnsi" w:eastAsia="Times New Roman" w:hAnsiTheme="minorHAnsi" w:cs="Arial"/>
          <w:i/>
          <w:iCs/>
          <w:color w:val="222222"/>
          <w:shd w:val="clear" w:color="auto" w:fill="FFFFFF"/>
        </w:rPr>
        <w:t>Journal of economic literature</w:t>
      </w:r>
      <w:r w:rsidRPr="00CB1460">
        <w:rPr>
          <w:rFonts w:asciiTheme="minorHAnsi" w:eastAsia="Times New Roman" w:hAnsiTheme="minorHAnsi" w:cs="Arial"/>
          <w:color w:val="222222"/>
          <w:shd w:val="clear" w:color="auto" w:fill="FFFFFF"/>
        </w:rPr>
        <w:t> 50, no. 1 (2012): 151-78.</w:t>
      </w:r>
    </w:p>
    <w:p w14:paraId="61FD0DF1" w14:textId="77777777" w:rsidR="009166FE" w:rsidRPr="00CB1460" w:rsidRDefault="009166FE" w:rsidP="007D0C8F">
      <w:pPr>
        <w:jc w:val="both"/>
        <w:rPr>
          <w:rFonts w:asciiTheme="minorHAnsi" w:eastAsia="Times New Roman" w:hAnsiTheme="minorHAnsi" w:cs="Arial"/>
          <w:color w:val="222222"/>
          <w:shd w:val="clear" w:color="auto" w:fill="FFFFFF"/>
        </w:rPr>
      </w:pPr>
    </w:p>
    <w:p w14:paraId="440CC85E" w14:textId="0FC147FC" w:rsidR="009166FE" w:rsidRPr="00CB1460" w:rsidRDefault="00675E56" w:rsidP="007D0C8F">
      <w:pPr>
        <w:jc w:val="both"/>
        <w:rPr>
          <w:rFonts w:asciiTheme="minorHAnsi" w:eastAsia="Times New Roman" w:hAnsiTheme="minorHAnsi"/>
        </w:rPr>
      </w:pPr>
      <w:r w:rsidRPr="00CB1460">
        <w:rPr>
          <w:rFonts w:asciiTheme="minorHAnsi" w:eastAsia="Times New Roman" w:hAnsiTheme="minorHAnsi" w:cs="Arial"/>
          <w:color w:val="222222"/>
          <w:shd w:val="clear" w:color="auto" w:fill="FFFFFF"/>
        </w:rPr>
        <w:t xml:space="preserve">Morris, Stephen, and Hyun Song Shin. "Global games: Theory and applications." </w:t>
      </w:r>
      <w:r w:rsidR="00B35487" w:rsidRPr="00CB1460">
        <w:rPr>
          <w:rFonts w:asciiTheme="minorHAnsi" w:eastAsia="Times New Roman" w:hAnsiTheme="minorHAnsi" w:cs="Arial"/>
          <w:i/>
          <w:color w:val="222222"/>
          <w:shd w:val="clear" w:color="auto" w:fill="FFFFFF"/>
        </w:rPr>
        <w:t xml:space="preserve">Cowles Foundation Discussion Paper, no. 1275R. </w:t>
      </w:r>
      <w:r w:rsidRPr="00CB1460">
        <w:rPr>
          <w:rFonts w:asciiTheme="minorHAnsi" w:eastAsia="Times New Roman" w:hAnsiTheme="minorHAnsi" w:cs="Arial"/>
          <w:color w:val="222222"/>
          <w:shd w:val="clear" w:color="auto" w:fill="FFFFFF"/>
        </w:rPr>
        <w:t>(2001).</w:t>
      </w:r>
    </w:p>
    <w:p w14:paraId="5CAB250A" w14:textId="77777777" w:rsidR="00F832F7" w:rsidRPr="00CB1460" w:rsidRDefault="00F832F7" w:rsidP="00F832F7">
      <w:pPr>
        <w:jc w:val="both"/>
        <w:rPr>
          <w:rFonts w:asciiTheme="minorHAnsi" w:eastAsia="Times New Roman" w:hAnsiTheme="minorHAnsi" w:cs="Arial"/>
          <w:color w:val="222222"/>
          <w:shd w:val="clear" w:color="auto" w:fill="FFFFFF"/>
        </w:rPr>
      </w:pPr>
    </w:p>
    <w:p w14:paraId="483E3935" w14:textId="7627686C" w:rsidR="00F15430" w:rsidRPr="00CB1460" w:rsidRDefault="00F832F7" w:rsidP="006E3A7A">
      <w:pPr>
        <w:jc w:val="both"/>
        <w:rPr>
          <w:rFonts w:asciiTheme="minorHAnsi" w:hAnsiTheme="minorHAnsi"/>
        </w:rPr>
      </w:pPr>
      <w:r w:rsidRPr="00CB1460">
        <w:rPr>
          <w:rFonts w:asciiTheme="minorHAnsi" w:eastAsia="Times New Roman" w:hAnsiTheme="minorHAnsi" w:cs="Arial"/>
          <w:color w:val="222222"/>
          <w:shd w:val="clear" w:color="auto" w:fill="FFFFFF"/>
        </w:rPr>
        <w:t>Peck, James, and Karl Shell. "Equilibrium bank runs." </w:t>
      </w:r>
      <w:r w:rsidRPr="00CB1460">
        <w:rPr>
          <w:rFonts w:asciiTheme="minorHAnsi" w:eastAsia="Times New Roman" w:hAnsiTheme="minorHAnsi" w:cs="Arial"/>
          <w:i/>
          <w:iCs/>
          <w:color w:val="222222"/>
          <w:shd w:val="clear" w:color="auto" w:fill="FFFFFF"/>
        </w:rPr>
        <w:t>Journal of political Economy</w:t>
      </w:r>
      <w:r w:rsidRPr="00CB1460">
        <w:rPr>
          <w:rFonts w:asciiTheme="minorHAnsi" w:eastAsia="Times New Roman" w:hAnsiTheme="minorHAnsi" w:cs="Arial"/>
          <w:color w:val="222222"/>
          <w:shd w:val="clear" w:color="auto" w:fill="FFFFFF"/>
        </w:rPr>
        <w:t> 111, no. 1 (2003): 103-123.</w:t>
      </w:r>
      <w:r w:rsidR="00F426A2" w:rsidRPr="00CB1460">
        <w:rPr>
          <w:rFonts w:asciiTheme="minorHAnsi" w:hAnsiTheme="minorHAnsi"/>
        </w:rPr>
        <w:t xml:space="preserve"> </w:t>
      </w:r>
    </w:p>
    <w:p w14:paraId="3D0A91DA" w14:textId="77777777" w:rsidR="00FB76EA" w:rsidRPr="00CB1460" w:rsidRDefault="00FB76EA" w:rsidP="006E3A7A">
      <w:pPr>
        <w:jc w:val="both"/>
        <w:rPr>
          <w:rFonts w:asciiTheme="minorHAnsi" w:hAnsiTheme="minorHAnsi"/>
        </w:rPr>
      </w:pPr>
    </w:p>
    <w:sectPr w:rsidR="00FB76EA" w:rsidRPr="00CB1460" w:rsidSect="00540386">
      <w:footerReference w:type="even"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A6621" w14:textId="77777777" w:rsidR="00C42FEC" w:rsidRDefault="00C42FEC" w:rsidP="006427EF">
      <w:r>
        <w:separator/>
      </w:r>
    </w:p>
  </w:endnote>
  <w:endnote w:type="continuationSeparator" w:id="0">
    <w:p w14:paraId="302B021F" w14:textId="77777777" w:rsidR="00C42FEC" w:rsidRDefault="00C42FEC" w:rsidP="0064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16412" w14:textId="77777777" w:rsidR="0042163E" w:rsidRDefault="0042163E" w:rsidP="00F2225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1F926E" w14:textId="77777777" w:rsidR="0042163E" w:rsidRDefault="004216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11E29" w14:textId="77777777" w:rsidR="0042163E" w:rsidRDefault="0042163E" w:rsidP="00F2225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5E58">
      <w:rPr>
        <w:rStyle w:val="PageNumber"/>
        <w:noProof/>
      </w:rPr>
      <w:t>25</w:t>
    </w:r>
    <w:r>
      <w:rPr>
        <w:rStyle w:val="PageNumber"/>
      </w:rPr>
      <w:fldChar w:fldCharType="end"/>
    </w:r>
  </w:p>
  <w:p w14:paraId="4D83B199" w14:textId="77777777" w:rsidR="0042163E" w:rsidRDefault="004216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7F808" w14:textId="77777777" w:rsidR="00C42FEC" w:rsidRDefault="00C42FEC" w:rsidP="006427EF">
      <w:r>
        <w:separator/>
      </w:r>
    </w:p>
  </w:footnote>
  <w:footnote w:type="continuationSeparator" w:id="0">
    <w:p w14:paraId="48243107" w14:textId="77777777" w:rsidR="00C42FEC" w:rsidRDefault="00C42FEC" w:rsidP="006427EF">
      <w:r>
        <w:continuationSeparator/>
      </w:r>
    </w:p>
  </w:footnote>
  <w:footnote w:id="1">
    <w:p w14:paraId="76485B7E" w14:textId="77777777" w:rsidR="0042163E" w:rsidRPr="007D2250" w:rsidRDefault="0042163E" w:rsidP="007D2250">
      <w:pPr>
        <w:jc w:val="both"/>
        <w:rPr>
          <w:rFonts w:eastAsia="Times New Roman"/>
          <w:sz w:val="20"/>
          <w:szCs w:val="20"/>
        </w:rPr>
      </w:pPr>
      <w:r w:rsidRPr="007D2250">
        <w:rPr>
          <w:rStyle w:val="FootnoteReference"/>
          <w:sz w:val="20"/>
          <w:szCs w:val="20"/>
        </w:rPr>
        <w:footnoteRef/>
      </w:r>
      <w:r w:rsidRPr="007D2250">
        <w:rPr>
          <w:sz w:val="20"/>
          <w:szCs w:val="20"/>
        </w:rPr>
        <w:t xml:space="preserve"> </w:t>
      </w:r>
      <w:r w:rsidRPr="007D2250">
        <w:rPr>
          <w:rFonts w:eastAsia="Times New Roman" w:cs="Arial"/>
          <w:color w:val="222222"/>
          <w:sz w:val="20"/>
          <w:szCs w:val="20"/>
          <w:shd w:val="clear" w:color="auto" w:fill="FFFFFF"/>
        </w:rPr>
        <w:t>Lo, Andrew W. "Reading about the financial crisis: A twenty-one-book review." </w:t>
      </w:r>
      <w:r w:rsidRPr="007D2250">
        <w:rPr>
          <w:rFonts w:eastAsia="Times New Roman" w:cs="Arial"/>
          <w:i/>
          <w:iCs/>
          <w:color w:val="222222"/>
          <w:sz w:val="20"/>
          <w:szCs w:val="20"/>
          <w:shd w:val="clear" w:color="auto" w:fill="FFFFFF"/>
        </w:rPr>
        <w:t>Journal of economic literature</w:t>
      </w:r>
      <w:r w:rsidRPr="007D2250">
        <w:rPr>
          <w:rFonts w:eastAsia="Times New Roman" w:cs="Arial"/>
          <w:color w:val="222222"/>
          <w:sz w:val="20"/>
          <w:szCs w:val="20"/>
          <w:shd w:val="clear" w:color="auto" w:fill="FFFFFF"/>
        </w:rPr>
        <w:t> 50, no. 1 (2012): 151-78.</w:t>
      </w:r>
    </w:p>
    <w:p w14:paraId="5610D84E" w14:textId="43591C71" w:rsidR="0042163E" w:rsidRDefault="0042163E">
      <w:pPr>
        <w:pStyle w:val="FootnoteText"/>
      </w:pPr>
    </w:p>
  </w:footnote>
  <w:footnote w:id="2">
    <w:p w14:paraId="41D4EEF4" w14:textId="3CB8D227" w:rsidR="0042163E" w:rsidRPr="006427EF" w:rsidRDefault="0042163E" w:rsidP="00A7025C">
      <w:pPr>
        <w:pStyle w:val="FootnoteText"/>
        <w:jc w:val="both"/>
        <w:rPr>
          <w:sz w:val="20"/>
          <w:szCs w:val="20"/>
        </w:rPr>
      </w:pPr>
      <w:r w:rsidRPr="006427EF">
        <w:rPr>
          <w:rStyle w:val="FootnoteReference"/>
          <w:sz w:val="20"/>
          <w:szCs w:val="20"/>
        </w:rPr>
        <w:footnoteRef/>
      </w:r>
      <w:r w:rsidRPr="006427EF">
        <w:rPr>
          <w:sz w:val="20"/>
          <w:szCs w:val="20"/>
        </w:rPr>
        <w:t xml:space="preserve"> </w:t>
      </w:r>
      <w:hyperlink r:id="rId1" w:history="1">
        <w:r w:rsidRPr="00890E6E">
          <w:rPr>
            <w:rStyle w:val="Hyperlink"/>
            <w:sz w:val="20"/>
            <w:szCs w:val="20"/>
          </w:rPr>
          <w:t>http://fcic-static.law.stanford.edu/cdn_media/fcic-reports/fcic_final_report_full.pdf</w:t>
        </w:r>
      </w:hyperlink>
      <w:r>
        <w:rPr>
          <w:sz w:val="20"/>
          <w:szCs w:val="20"/>
        </w:rPr>
        <w:t xml:space="preserve"> </w:t>
      </w:r>
    </w:p>
  </w:footnote>
  <w:footnote w:id="3">
    <w:p w14:paraId="3600C45B" w14:textId="66C91387" w:rsidR="0042163E" w:rsidRPr="00A77E20" w:rsidRDefault="0042163E" w:rsidP="00A7025C">
      <w:pPr>
        <w:pStyle w:val="FootnoteText"/>
        <w:jc w:val="both"/>
        <w:rPr>
          <w:sz w:val="20"/>
          <w:szCs w:val="20"/>
        </w:rPr>
      </w:pPr>
      <w:r w:rsidRPr="00A77E20">
        <w:rPr>
          <w:rStyle w:val="FootnoteReference"/>
          <w:sz w:val="20"/>
          <w:szCs w:val="20"/>
        </w:rPr>
        <w:footnoteRef/>
      </w:r>
      <w:r w:rsidRPr="00A77E20">
        <w:rPr>
          <w:sz w:val="20"/>
          <w:szCs w:val="20"/>
        </w:rPr>
        <w:t xml:space="preserve"> </w:t>
      </w:r>
      <w:hyperlink r:id="rId2" w:history="1">
        <w:r w:rsidRPr="00890E6E">
          <w:rPr>
            <w:rStyle w:val="Hyperlink"/>
            <w:sz w:val="20"/>
            <w:szCs w:val="20"/>
          </w:rPr>
          <w:t>https://www.frbsf.org/education/publications/doctor-econ/2009/december/subprime-mortgage-statistics/</w:t>
        </w:r>
      </w:hyperlink>
      <w:r>
        <w:rPr>
          <w:sz w:val="20"/>
          <w:szCs w:val="20"/>
        </w:rPr>
        <w:t xml:space="preserve"> Note, the FCIC report suggest that subprimes represented half of all outstanding mortgages in 2008. That’s a huge difference between the figure cited here, which was calculated by the Federal Reserve Bank of San Francisco based on data obtain from the Mortgage Bankers Association. </w:t>
      </w:r>
    </w:p>
  </w:footnote>
  <w:footnote w:id="4">
    <w:p w14:paraId="588267A1" w14:textId="212AFB10" w:rsidR="0042163E" w:rsidRPr="00693A31" w:rsidRDefault="0042163E" w:rsidP="00A7025C">
      <w:pPr>
        <w:jc w:val="both"/>
        <w:rPr>
          <w:sz w:val="20"/>
          <w:szCs w:val="20"/>
        </w:rPr>
      </w:pPr>
      <w:r w:rsidRPr="00693A31">
        <w:rPr>
          <w:rStyle w:val="FootnoteReference"/>
          <w:sz w:val="20"/>
          <w:szCs w:val="20"/>
        </w:rPr>
        <w:footnoteRef/>
      </w:r>
      <w:r w:rsidRPr="00693A31">
        <w:rPr>
          <w:sz w:val="20"/>
          <w:szCs w:val="20"/>
        </w:rPr>
        <w:t xml:space="preserve"> .15 x .14 divided by .05 x .</w:t>
      </w:r>
      <w:r>
        <w:rPr>
          <w:sz w:val="20"/>
          <w:szCs w:val="20"/>
        </w:rPr>
        <w:t xml:space="preserve">86 equals .488. </w:t>
      </w:r>
      <w:r w:rsidRPr="00693A31">
        <w:rPr>
          <w:sz w:val="20"/>
          <w:szCs w:val="20"/>
        </w:rPr>
        <w:t xml:space="preserve"> </w:t>
      </w:r>
    </w:p>
    <w:p w14:paraId="2A90E981" w14:textId="322B1F24" w:rsidR="0042163E" w:rsidRPr="0017750B" w:rsidRDefault="0042163E" w:rsidP="00A7025C">
      <w:pPr>
        <w:pStyle w:val="FootnoteText"/>
        <w:jc w:val="both"/>
        <w:rPr>
          <w:sz w:val="20"/>
          <w:szCs w:val="20"/>
        </w:rPr>
      </w:pPr>
      <w:r w:rsidRPr="0017750B">
        <w:rPr>
          <w:sz w:val="20"/>
          <w:szCs w:val="20"/>
        </w:rPr>
        <w:t>https://www.google.com/search?tbm=isch&amp;q=mba+chart+subprime+series+delinquency+chart&amp;chips=q:mba+chart+subprime+series+delinquency+chart,online_chips:delinquency+rates,online_chips:subprime+mortgages&amp;sa=X&amp;ved=0ahUKEwi_yb-XzMTdAhXOmuAKHfb7BkwQ4lYIKigB&amp;biw=1261&amp;bih=710&amp;dpr=2#imgrc=jmEmu25vcPO3RM:</w:t>
      </w:r>
    </w:p>
  </w:footnote>
  <w:footnote w:id="5">
    <w:p w14:paraId="44919210" w14:textId="0AA4578B" w:rsidR="0042163E" w:rsidRPr="00417992" w:rsidRDefault="0042163E" w:rsidP="00A7025C">
      <w:pPr>
        <w:pStyle w:val="FootnoteText"/>
        <w:jc w:val="both"/>
        <w:rPr>
          <w:sz w:val="20"/>
          <w:szCs w:val="20"/>
        </w:rPr>
      </w:pPr>
      <w:r w:rsidRPr="00417992">
        <w:rPr>
          <w:rStyle w:val="FootnoteReference"/>
          <w:sz w:val="20"/>
          <w:szCs w:val="20"/>
        </w:rPr>
        <w:footnoteRef/>
      </w:r>
      <w:r w:rsidRPr="00417992">
        <w:rPr>
          <w:sz w:val="20"/>
          <w:szCs w:val="20"/>
        </w:rPr>
        <w:t xml:space="preserve"> https://www.google.com/search?q=prime+mortgage+mba+delinquency+rates+chart&amp;source=lnms&amp;tbm=isch&amp;sa=X&amp;ved=0ahUKEwiZ46SmzcTdAhUqmuAKHYLZDnYQ_AUIDygC&amp;biw=1261&amp;bih=710#imgrc=HFZyDsi6Gmu9iM:</w:t>
      </w:r>
    </w:p>
  </w:footnote>
  <w:footnote w:id="6">
    <w:p w14:paraId="0BAFA5DC" w14:textId="77777777" w:rsidR="0042163E" w:rsidRPr="00610FC7" w:rsidRDefault="0042163E" w:rsidP="00417992">
      <w:pPr>
        <w:pStyle w:val="FootnoteText"/>
        <w:tabs>
          <w:tab w:val="left" w:pos="2453"/>
        </w:tabs>
        <w:jc w:val="both"/>
        <w:rPr>
          <w:sz w:val="20"/>
          <w:szCs w:val="20"/>
        </w:rPr>
      </w:pPr>
      <w:r w:rsidRPr="00392604">
        <w:rPr>
          <w:rStyle w:val="FootnoteReference"/>
          <w:sz w:val="20"/>
          <w:szCs w:val="20"/>
        </w:rPr>
        <w:footnoteRef/>
      </w:r>
      <w:r w:rsidRPr="00392604">
        <w:rPr>
          <w:sz w:val="20"/>
          <w:szCs w:val="20"/>
        </w:rPr>
        <w:t xml:space="preserve"> Ibid</w:t>
      </w:r>
      <w:r w:rsidRPr="00610FC7">
        <w:rPr>
          <w:sz w:val="20"/>
          <w:szCs w:val="20"/>
        </w:rPr>
        <w:tab/>
      </w:r>
    </w:p>
  </w:footnote>
  <w:footnote w:id="7">
    <w:p w14:paraId="6C7A96C7" w14:textId="77777777" w:rsidR="0042163E" w:rsidRPr="00610FC7" w:rsidRDefault="0042163E" w:rsidP="00417992">
      <w:pPr>
        <w:pStyle w:val="FootnoteText"/>
        <w:jc w:val="both"/>
        <w:rPr>
          <w:sz w:val="20"/>
          <w:szCs w:val="20"/>
        </w:rPr>
      </w:pPr>
      <w:r w:rsidRPr="00610FC7">
        <w:rPr>
          <w:rStyle w:val="FootnoteReference"/>
          <w:sz w:val="20"/>
          <w:szCs w:val="20"/>
        </w:rPr>
        <w:footnoteRef/>
      </w:r>
      <w:r w:rsidRPr="00610FC7">
        <w:rPr>
          <w:sz w:val="20"/>
          <w:szCs w:val="20"/>
        </w:rPr>
        <w:t xml:space="preserve"> https://www.cbpp.org/research/economy/chart-book-the-legacy-of-the-great-recession</w:t>
      </w:r>
    </w:p>
  </w:footnote>
  <w:footnote w:id="8">
    <w:p w14:paraId="14F92839" w14:textId="63AAA32E" w:rsidR="00D05370" w:rsidRPr="00D05370" w:rsidRDefault="00D05370" w:rsidP="007739A6">
      <w:pPr>
        <w:pStyle w:val="FootnoteText"/>
        <w:jc w:val="both"/>
        <w:rPr>
          <w:sz w:val="20"/>
          <w:szCs w:val="20"/>
        </w:rPr>
      </w:pPr>
      <w:r w:rsidRPr="00D05370">
        <w:rPr>
          <w:rStyle w:val="FootnoteReference"/>
          <w:sz w:val="20"/>
          <w:szCs w:val="20"/>
        </w:rPr>
        <w:footnoteRef/>
      </w:r>
      <w:r w:rsidRPr="00D05370">
        <w:rPr>
          <w:sz w:val="20"/>
          <w:szCs w:val="20"/>
        </w:rPr>
        <w:t xml:space="preserve"> </w:t>
      </w:r>
      <w:hyperlink r:id="rId3" w:history="1">
        <w:r w:rsidR="007739A6" w:rsidRPr="008A6B90">
          <w:rPr>
            <w:rStyle w:val="Hyperlink"/>
            <w:sz w:val="20"/>
            <w:szCs w:val="20"/>
          </w:rPr>
          <w:t>https://247wallst.com/banking-finance/2018/09/18/new-york-fed-sees-2-5-billion-profit-on-bear-stearns-in-final-maiden-lane-sales/</w:t>
        </w:r>
      </w:hyperlink>
      <w:r w:rsidR="007739A6">
        <w:rPr>
          <w:sz w:val="20"/>
          <w:szCs w:val="20"/>
        </w:rPr>
        <w:t xml:space="preserve"> To be precise, the Fed establish an LLC to purchase $30 billion of Bear’s “junk” assets with a $29 billion loan from the Fed and a $1 billion loan from JP Morgan. (see </w:t>
      </w:r>
      <w:r w:rsidR="007739A6" w:rsidRPr="007739A6">
        <w:rPr>
          <w:sz w:val="20"/>
          <w:szCs w:val="20"/>
        </w:rPr>
        <w:t>https://www.federalreserve.gov/regreform/reform-bearstearns.htm</w:t>
      </w:r>
      <w:r w:rsidR="007739A6">
        <w:rPr>
          <w:sz w:val="20"/>
          <w:szCs w:val="20"/>
        </w:rPr>
        <w:t>)</w:t>
      </w:r>
    </w:p>
  </w:footnote>
  <w:footnote w:id="9">
    <w:p w14:paraId="5964B18B" w14:textId="5860D25A" w:rsidR="0042163E" w:rsidRPr="009817FD" w:rsidRDefault="0042163E" w:rsidP="007739A6">
      <w:pPr>
        <w:pStyle w:val="FootnoteText"/>
        <w:jc w:val="both"/>
        <w:rPr>
          <w:sz w:val="20"/>
          <w:szCs w:val="20"/>
        </w:rPr>
      </w:pPr>
      <w:r w:rsidRPr="009817FD">
        <w:rPr>
          <w:rStyle w:val="FootnoteReference"/>
          <w:sz w:val="20"/>
          <w:szCs w:val="20"/>
        </w:rPr>
        <w:footnoteRef/>
      </w:r>
      <w:r w:rsidRPr="009817FD">
        <w:rPr>
          <w:sz w:val="20"/>
          <w:szCs w:val="20"/>
        </w:rPr>
        <w:t xml:space="preserve"> https://fred.stlouisfed.org/series/USSTHPI</w:t>
      </w:r>
    </w:p>
  </w:footnote>
  <w:footnote w:id="10">
    <w:p w14:paraId="38FD2374" w14:textId="20EA1333" w:rsidR="0042163E" w:rsidRPr="00EF40D9" w:rsidRDefault="0042163E" w:rsidP="00EF40D9">
      <w:pPr>
        <w:pStyle w:val="FootnoteText"/>
        <w:jc w:val="both"/>
        <w:rPr>
          <w:sz w:val="20"/>
          <w:szCs w:val="20"/>
        </w:rPr>
      </w:pPr>
      <w:r w:rsidRPr="00D24F31">
        <w:rPr>
          <w:rStyle w:val="FootnoteReference"/>
          <w:sz w:val="20"/>
          <w:szCs w:val="20"/>
        </w:rPr>
        <w:footnoteRef/>
      </w:r>
      <w:r w:rsidRPr="00D24F31">
        <w:rPr>
          <w:sz w:val="20"/>
          <w:szCs w:val="20"/>
        </w:rPr>
        <w:t xml:space="preserve"> What about people who die and leave a lower priced home.</w:t>
      </w:r>
      <w:r>
        <w:rPr>
          <w:sz w:val="20"/>
          <w:szCs w:val="20"/>
        </w:rPr>
        <w:t xml:space="preserve"> This harms their heirs but those who are buying homes are benefit by lower house prices. The fact that the house is physically intact implies that there is no overall loss to </w:t>
      </w:r>
      <w:r w:rsidRPr="00EF40D9">
        <w:rPr>
          <w:sz w:val="20"/>
          <w:szCs w:val="20"/>
        </w:rPr>
        <w:t xml:space="preserve">the economy from changes in house prices. </w:t>
      </w:r>
    </w:p>
  </w:footnote>
  <w:footnote w:id="11">
    <w:p w14:paraId="75412E5B" w14:textId="7C889234" w:rsidR="0042163E" w:rsidRPr="00BB2B3C" w:rsidRDefault="0042163E">
      <w:pPr>
        <w:pStyle w:val="FootnoteText"/>
        <w:rPr>
          <w:sz w:val="20"/>
          <w:szCs w:val="20"/>
        </w:rPr>
      </w:pPr>
      <w:r w:rsidRPr="00BB2B3C">
        <w:rPr>
          <w:rStyle w:val="FootnoteReference"/>
          <w:sz w:val="20"/>
          <w:szCs w:val="20"/>
        </w:rPr>
        <w:footnoteRef/>
      </w:r>
      <w:r w:rsidRPr="00BB2B3C">
        <w:rPr>
          <w:sz w:val="20"/>
          <w:szCs w:val="20"/>
        </w:rPr>
        <w:t xml:space="preserve"> https://fred.stlouisfed.org/series/CSUSHPINSA</w:t>
      </w:r>
    </w:p>
  </w:footnote>
  <w:footnote w:id="12">
    <w:p w14:paraId="5C1D3683" w14:textId="4CEBCAA4" w:rsidR="0042163E" w:rsidRDefault="0042163E">
      <w:pPr>
        <w:pStyle w:val="FootnoteText"/>
      </w:pPr>
      <w:r w:rsidRPr="00BB2B3C">
        <w:rPr>
          <w:rStyle w:val="FootnoteReference"/>
          <w:sz w:val="20"/>
          <w:szCs w:val="20"/>
        </w:rPr>
        <w:footnoteRef/>
      </w:r>
      <w:r w:rsidRPr="00BB2B3C">
        <w:rPr>
          <w:sz w:val="20"/>
          <w:szCs w:val="20"/>
        </w:rPr>
        <w:t xml:space="preserve"> https://fred.stlouisfed.org/series/USSTHPI#0</w:t>
      </w:r>
    </w:p>
  </w:footnote>
  <w:footnote w:id="13">
    <w:p w14:paraId="487CA8E5" w14:textId="416644DE" w:rsidR="0042163E" w:rsidRDefault="0042163E">
      <w:pPr>
        <w:pStyle w:val="FootnoteText"/>
      </w:pPr>
      <w:r w:rsidRPr="00BB2B3C">
        <w:rPr>
          <w:rStyle w:val="FootnoteReference"/>
          <w:sz w:val="20"/>
          <w:szCs w:val="20"/>
        </w:rPr>
        <w:footnoteRef/>
      </w:r>
      <w:r w:rsidRPr="00BB2B3C">
        <w:rPr>
          <w:sz w:val="20"/>
          <w:szCs w:val="20"/>
        </w:rPr>
        <w:t xml:space="preserve"> http://fortune.com/2010/12/23/how-the-roof-fell-in-on-countrywide/</w:t>
      </w:r>
    </w:p>
  </w:footnote>
  <w:footnote w:id="14">
    <w:p w14:paraId="30FC0FF9" w14:textId="1B3845DA" w:rsidR="0042163E" w:rsidRPr="008B7993" w:rsidRDefault="0042163E">
      <w:pPr>
        <w:pStyle w:val="FootnoteText"/>
        <w:rPr>
          <w:sz w:val="20"/>
          <w:szCs w:val="20"/>
        </w:rPr>
      </w:pPr>
      <w:r w:rsidRPr="008B7993">
        <w:rPr>
          <w:rStyle w:val="FootnoteReference"/>
          <w:sz w:val="20"/>
          <w:szCs w:val="20"/>
        </w:rPr>
        <w:footnoteRef/>
      </w:r>
      <w:r w:rsidRPr="008B7993">
        <w:rPr>
          <w:sz w:val="20"/>
          <w:szCs w:val="20"/>
        </w:rPr>
        <w:t xml:space="preserve"> </w:t>
      </w:r>
      <w:hyperlink r:id="rId4" w:history="1">
        <w:r w:rsidRPr="00AA17AA">
          <w:rPr>
            <w:rStyle w:val="Hyperlink"/>
            <w:sz w:val="20"/>
            <w:szCs w:val="20"/>
          </w:rPr>
          <w:t>http://www.nber.org/chapters/c11794.pdf</w:t>
        </w:r>
      </w:hyperlink>
      <w:r>
        <w:rPr>
          <w:sz w:val="20"/>
          <w:szCs w:val="20"/>
        </w:rPr>
        <w:t>, p. 203.</w:t>
      </w:r>
    </w:p>
  </w:footnote>
  <w:footnote w:id="15">
    <w:p w14:paraId="157A8C4A" w14:textId="30A956D4" w:rsidR="0042163E" w:rsidRDefault="0042163E" w:rsidP="00EF40D9">
      <w:pPr>
        <w:pStyle w:val="FootnoteText"/>
        <w:jc w:val="both"/>
      </w:pPr>
      <w:r w:rsidRPr="00EF40D9">
        <w:rPr>
          <w:rStyle w:val="FootnoteReference"/>
          <w:sz w:val="20"/>
          <w:szCs w:val="20"/>
        </w:rPr>
        <w:footnoteRef/>
      </w:r>
      <w:r w:rsidRPr="00EF40D9">
        <w:rPr>
          <w:sz w:val="20"/>
          <w:szCs w:val="20"/>
        </w:rPr>
        <w:t xml:space="preserve"> https://www.theatlantic.com/magazine/archive/2012/06/how-we-got-the-crash-wrong/308984/</w:t>
      </w:r>
    </w:p>
  </w:footnote>
  <w:footnote w:id="16">
    <w:p w14:paraId="42A39C59" w14:textId="63DB9503" w:rsidR="0042163E" w:rsidRPr="006D091E" w:rsidRDefault="0042163E">
      <w:pPr>
        <w:pStyle w:val="FootnoteText"/>
        <w:rPr>
          <w:sz w:val="20"/>
          <w:szCs w:val="20"/>
        </w:rPr>
      </w:pPr>
      <w:r w:rsidRPr="006D091E">
        <w:rPr>
          <w:rStyle w:val="FootnoteReference"/>
          <w:sz w:val="20"/>
          <w:szCs w:val="20"/>
        </w:rPr>
        <w:footnoteRef/>
      </w:r>
      <w:r w:rsidRPr="006D091E">
        <w:rPr>
          <w:sz w:val="20"/>
          <w:szCs w:val="20"/>
        </w:rPr>
        <w:t xml:space="preserve"> https://fred.stlouisfed.org/series/EQTA</w:t>
      </w:r>
    </w:p>
  </w:footnote>
  <w:footnote w:id="17">
    <w:p w14:paraId="562B8712" w14:textId="12DDC94B" w:rsidR="0042163E" w:rsidRDefault="0042163E" w:rsidP="002347AB">
      <w:pPr>
        <w:jc w:val="both"/>
      </w:pPr>
      <w:r w:rsidRPr="004B4AF6">
        <w:rPr>
          <w:rStyle w:val="FootnoteReference"/>
          <w:sz w:val="20"/>
          <w:szCs w:val="20"/>
        </w:rPr>
        <w:footnoteRef/>
      </w:r>
      <w:r w:rsidRPr="004B4AF6">
        <w:rPr>
          <w:sz w:val="20"/>
          <w:szCs w:val="20"/>
        </w:rPr>
        <w:t xml:space="preserve"> </w:t>
      </w:r>
      <w:r>
        <w:rPr>
          <w:sz w:val="20"/>
          <w:szCs w:val="20"/>
        </w:rPr>
        <w:t>“</w:t>
      </w:r>
      <w:r w:rsidRPr="004B4AF6">
        <w:rPr>
          <w:sz w:val="20"/>
          <w:szCs w:val="20"/>
        </w:rPr>
        <w:t>Troubled assets</w:t>
      </w:r>
      <w:r>
        <w:rPr>
          <w:sz w:val="20"/>
          <w:szCs w:val="20"/>
        </w:rPr>
        <w:t>”</w:t>
      </w:r>
      <w:r w:rsidRPr="004B4AF6">
        <w:rPr>
          <w:sz w:val="20"/>
          <w:szCs w:val="20"/>
        </w:rPr>
        <w:t xml:space="preserve"> is, of course, the term the U.S. Treasury and Federal Reserve applied to subprime mortgages and other securities in seeking support for TARP, the Troubled Asset Relief Program. </w:t>
      </w:r>
    </w:p>
  </w:footnote>
  <w:footnote w:id="18">
    <w:p w14:paraId="645BC2DF" w14:textId="58D2323A" w:rsidR="0042163E" w:rsidRDefault="0042163E" w:rsidP="00F55E33">
      <w:pPr>
        <w:pStyle w:val="FootnoteText"/>
        <w:jc w:val="both"/>
      </w:pPr>
      <w:r w:rsidRPr="00F55E33">
        <w:rPr>
          <w:rStyle w:val="FootnoteReference"/>
          <w:sz w:val="20"/>
          <w:szCs w:val="20"/>
        </w:rPr>
        <w:footnoteRef/>
      </w:r>
      <w:r w:rsidRPr="00F55E33">
        <w:rPr>
          <w:sz w:val="20"/>
          <w:szCs w:val="20"/>
        </w:rPr>
        <w:t xml:space="preserve"> This, of course, does what the shorters want – it raises the values of their short positions. Talking up one’s short is, incidentally, exactly what’s portrayed in </w:t>
      </w:r>
      <w:r w:rsidRPr="00F55E33">
        <w:rPr>
          <w:i/>
          <w:sz w:val="20"/>
          <w:szCs w:val="20"/>
        </w:rPr>
        <w:t>The Big Short</w:t>
      </w:r>
      <w:r w:rsidRPr="00F55E33">
        <w:rPr>
          <w:sz w:val="20"/>
          <w:szCs w:val="20"/>
        </w:rPr>
        <w:t xml:space="preserve">. What we don’t know and probably never will know is whether those who shorted the market lied or massaged the truth about the assets they denigrated. </w:t>
      </w:r>
    </w:p>
  </w:footnote>
  <w:footnote w:id="19">
    <w:p w14:paraId="0E397EAE" w14:textId="77777777" w:rsidR="0042163E" w:rsidRDefault="0042163E" w:rsidP="009A4E90">
      <w:pPr>
        <w:pStyle w:val="FootnoteText"/>
      </w:pPr>
      <w:r>
        <w:rPr>
          <w:rStyle w:val="FootnoteReference"/>
        </w:rPr>
        <w:footnoteRef/>
      </w:r>
      <w:r>
        <w:t xml:space="preserve"> </w:t>
      </w:r>
      <w:r w:rsidRPr="00EF40D9">
        <w:rPr>
          <w:sz w:val="20"/>
          <w:szCs w:val="20"/>
        </w:rPr>
        <w:t>https://www.theatlantic.com/magazine/archive/2012/06/how-we-got-the-crash-wrong/308984/</w:t>
      </w:r>
    </w:p>
  </w:footnote>
  <w:footnote w:id="20">
    <w:p w14:paraId="09E19F82" w14:textId="22BF41EB" w:rsidR="0042163E" w:rsidRPr="00792B47" w:rsidRDefault="0042163E" w:rsidP="00792B47">
      <w:pPr>
        <w:pStyle w:val="FootnoteText"/>
        <w:rPr>
          <w:sz w:val="20"/>
          <w:szCs w:val="20"/>
        </w:rPr>
      </w:pPr>
      <w:r w:rsidRPr="00792B47">
        <w:rPr>
          <w:rStyle w:val="FootnoteReference"/>
          <w:sz w:val="20"/>
          <w:szCs w:val="20"/>
        </w:rPr>
        <w:footnoteRef/>
      </w:r>
      <w:r w:rsidRPr="00792B47">
        <w:rPr>
          <w:sz w:val="20"/>
          <w:szCs w:val="20"/>
        </w:rPr>
        <w:t xml:space="preserve"> </w:t>
      </w:r>
      <w:r w:rsidR="00E36683" w:rsidRPr="00E36683">
        <w:rPr>
          <w:sz w:val="20"/>
          <w:szCs w:val="20"/>
        </w:rPr>
        <w:t>https://web.stanford.edu/~jbulow/Lehmandocs/docs/DEBTORS/LBEX-DOCID%201401225.pdf</w:t>
      </w:r>
    </w:p>
  </w:footnote>
  <w:footnote w:id="21">
    <w:p w14:paraId="4167BB13" w14:textId="08FC16ED" w:rsidR="0042163E" w:rsidRPr="00547977" w:rsidRDefault="0042163E">
      <w:pPr>
        <w:pStyle w:val="FootnoteText"/>
        <w:rPr>
          <w:sz w:val="20"/>
          <w:szCs w:val="20"/>
        </w:rPr>
      </w:pPr>
      <w:r w:rsidRPr="00547977">
        <w:rPr>
          <w:rStyle w:val="FootnoteReference"/>
          <w:sz w:val="20"/>
          <w:szCs w:val="20"/>
        </w:rPr>
        <w:footnoteRef/>
      </w:r>
      <w:r w:rsidRPr="00547977">
        <w:rPr>
          <w:sz w:val="20"/>
          <w:szCs w:val="20"/>
        </w:rPr>
        <w:t xml:space="preserve"> I reference here gross, not net leverage.</w:t>
      </w:r>
    </w:p>
  </w:footnote>
  <w:footnote w:id="22">
    <w:p w14:paraId="257C502E" w14:textId="7344AB9F" w:rsidR="0042163E" w:rsidRPr="00547977" w:rsidRDefault="0042163E" w:rsidP="00B72081">
      <w:pPr>
        <w:pStyle w:val="FootnoteText"/>
        <w:jc w:val="both"/>
        <w:rPr>
          <w:sz w:val="20"/>
          <w:szCs w:val="20"/>
        </w:rPr>
      </w:pPr>
      <w:r w:rsidRPr="00547977">
        <w:rPr>
          <w:rStyle w:val="FootnoteReference"/>
          <w:sz w:val="20"/>
          <w:szCs w:val="20"/>
        </w:rPr>
        <w:footnoteRef/>
      </w:r>
      <w:r w:rsidRPr="00547977">
        <w:rPr>
          <w:sz w:val="20"/>
          <w:szCs w:val="20"/>
        </w:rPr>
        <w:t xml:space="preserve"> Regulators have developed different capital ratio measures, including Tier 1 and Tier 2 capital ratios. See https://www.investopedia.com/terms/t/tier1capital.asp</w:t>
      </w:r>
    </w:p>
  </w:footnote>
  <w:footnote w:id="23">
    <w:p w14:paraId="75D9401F" w14:textId="59C4DDDB" w:rsidR="0042163E" w:rsidRPr="00547977" w:rsidRDefault="0042163E" w:rsidP="00A67F9B">
      <w:pPr>
        <w:pStyle w:val="FootnoteText"/>
        <w:jc w:val="both"/>
        <w:rPr>
          <w:sz w:val="20"/>
          <w:szCs w:val="20"/>
        </w:rPr>
      </w:pPr>
      <w:r w:rsidRPr="00547977">
        <w:rPr>
          <w:rStyle w:val="FootnoteReference"/>
          <w:sz w:val="20"/>
          <w:szCs w:val="20"/>
        </w:rPr>
        <w:footnoteRef/>
      </w:r>
      <w:r w:rsidRPr="00547977">
        <w:rPr>
          <w:sz w:val="20"/>
          <w:szCs w:val="20"/>
        </w:rPr>
        <w:t xml:space="preserve"> https://en.wikipedia.org/wiki/Bear_Stearns</w:t>
      </w:r>
    </w:p>
  </w:footnote>
  <w:footnote w:id="24">
    <w:p w14:paraId="165BBA52" w14:textId="1025D914" w:rsidR="0042163E" w:rsidRPr="00547977" w:rsidRDefault="0042163E" w:rsidP="008F5C61">
      <w:pPr>
        <w:rPr>
          <w:rFonts w:asciiTheme="minorHAnsi" w:hAnsiTheme="minorHAnsi"/>
        </w:rPr>
      </w:pPr>
      <w:r w:rsidRPr="00547977">
        <w:rPr>
          <w:rStyle w:val="FootnoteReference"/>
          <w:rFonts w:asciiTheme="minorHAnsi" w:hAnsiTheme="minorHAnsi"/>
          <w:sz w:val="20"/>
          <w:szCs w:val="20"/>
        </w:rPr>
        <w:footnoteRef/>
      </w:r>
      <w:r w:rsidRPr="00547977">
        <w:rPr>
          <w:rFonts w:asciiTheme="minorHAnsi" w:hAnsiTheme="minorHAnsi"/>
          <w:sz w:val="20"/>
          <w:szCs w:val="20"/>
        </w:rPr>
        <w:t xml:space="preserve"> </w:t>
      </w:r>
      <w:r w:rsidRPr="00547977">
        <w:rPr>
          <w:rFonts w:asciiTheme="minorHAnsi" w:eastAsia="Times New Roman" w:hAnsiTheme="minorHAnsi"/>
          <w:color w:val="000000"/>
          <w:sz w:val="20"/>
          <w:szCs w:val="20"/>
        </w:rPr>
        <w:t>https://www.sec.gov/news/press/2008/2008-48.htm</w:t>
      </w:r>
    </w:p>
  </w:footnote>
  <w:footnote w:id="25">
    <w:p w14:paraId="35E9E1A2" w14:textId="77777777" w:rsidR="0042163E" w:rsidRPr="00547977" w:rsidRDefault="0042163E" w:rsidP="0004397C">
      <w:pPr>
        <w:pStyle w:val="FootnoteText"/>
        <w:rPr>
          <w:sz w:val="20"/>
          <w:szCs w:val="20"/>
        </w:rPr>
      </w:pPr>
      <w:r w:rsidRPr="00547977">
        <w:rPr>
          <w:rStyle w:val="FootnoteReference"/>
          <w:sz w:val="20"/>
          <w:szCs w:val="20"/>
        </w:rPr>
        <w:footnoteRef/>
      </w:r>
      <w:r w:rsidRPr="00547977">
        <w:rPr>
          <w:sz w:val="20"/>
          <w:szCs w:val="20"/>
        </w:rPr>
        <w:t xml:space="preserve"> Ibid</w:t>
      </w:r>
    </w:p>
  </w:footnote>
  <w:footnote w:id="26">
    <w:p w14:paraId="565C482E" w14:textId="77777777" w:rsidR="0042163E" w:rsidRPr="00547977" w:rsidRDefault="0042163E" w:rsidP="0004397C">
      <w:pPr>
        <w:pStyle w:val="FootnoteText"/>
        <w:jc w:val="both"/>
        <w:rPr>
          <w:sz w:val="20"/>
          <w:szCs w:val="20"/>
        </w:rPr>
      </w:pPr>
      <w:r w:rsidRPr="00547977">
        <w:rPr>
          <w:rStyle w:val="FootnoteReference"/>
          <w:sz w:val="20"/>
          <w:szCs w:val="20"/>
        </w:rPr>
        <w:footnoteRef/>
      </w:r>
      <w:r w:rsidRPr="00547977">
        <w:rPr>
          <w:sz w:val="20"/>
          <w:szCs w:val="20"/>
        </w:rPr>
        <w:t xml:space="preserve"> https://www.sec.gov/news/testimony/2010/ts042010mls.htm</w:t>
      </w:r>
    </w:p>
  </w:footnote>
  <w:footnote w:id="27">
    <w:p w14:paraId="2C34A0AB" w14:textId="6858E275" w:rsidR="0042163E" w:rsidRPr="00547977" w:rsidRDefault="0042163E">
      <w:pPr>
        <w:pStyle w:val="FootnoteText"/>
        <w:rPr>
          <w:sz w:val="20"/>
          <w:szCs w:val="20"/>
        </w:rPr>
      </w:pPr>
      <w:r w:rsidRPr="00547977">
        <w:rPr>
          <w:rStyle w:val="FootnoteReference"/>
          <w:sz w:val="20"/>
          <w:szCs w:val="20"/>
        </w:rPr>
        <w:footnoteRef/>
      </w:r>
      <w:r w:rsidRPr="00547977">
        <w:rPr>
          <w:sz w:val="20"/>
          <w:szCs w:val="20"/>
        </w:rPr>
        <w:t xml:space="preserve"> Lehmans’ Repo 105 transactions is a case in point.</w:t>
      </w:r>
    </w:p>
  </w:footnote>
  <w:footnote w:id="28">
    <w:p w14:paraId="205BDE21" w14:textId="5A1ACDFE" w:rsidR="0042163E" w:rsidRPr="00547977" w:rsidRDefault="0042163E" w:rsidP="009F5199">
      <w:pPr>
        <w:pStyle w:val="FootnoteText"/>
        <w:jc w:val="both"/>
        <w:rPr>
          <w:sz w:val="20"/>
          <w:szCs w:val="20"/>
        </w:rPr>
      </w:pPr>
      <w:r w:rsidRPr="00547977">
        <w:rPr>
          <w:rStyle w:val="FootnoteReference"/>
          <w:sz w:val="20"/>
          <w:szCs w:val="20"/>
        </w:rPr>
        <w:footnoteRef/>
      </w:r>
      <w:r w:rsidRPr="00547977">
        <w:rPr>
          <w:sz w:val="20"/>
          <w:szCs w:val="20"/>
        </w:rPr>
        <w:t xml:space="preserve"> https://www.sec.gov/news/press/2008/2008-48.htm</w:t>
      </w:r>
    </w:p>
  </w:footnote>
  <w:footnote w:id="29">
    <w:p w14:paraId="67CCF1F0" w14:textId="298CC81C" w:rsidR="00F613DA" w:rsidRPr="00F613DA" w:rsidRDefault="00F613DA" w:rsidP="007720A0">
      <w:pPr>
        <w:pStyle w:val="NormalWeb"/>
        <w:shd w:val="clear" w:color="auto" w:fill="FFFFFF"/>
        <w:spacing w:before="0" w:beforeAutospacing="0" w:after="0" w:afterAutospacing="0"/>
        <w:jc w:val="both"/>
        <w:rPr>
          <w:sz w:val="20"/>
          <w:szCs w:val="20"/>
        </w:rPr>
      </w:pPr>
      <w:r w:rsidRPr="007720A0">
        <w:rPr>
          <w:rStyle w:val="FootnoteReference"/>
          <w:rFonts w:asciiTheme="minorHAnsi" w:hAnsiTheme="minorHAnsi"/>
          <w:sz w:val="20"/>
          <w:szCs w:val="20"/>
        </w:rPr>
        <w:footnoteRef/>
      </w:r>
      <w:r w:rsidRPr="007720A0">
        <w:rPr>
          <w:rFonts w:asciiTheme="minorHAnsi" w:hAnsiTheme="minorHAnsi"/>
          <w:sz w:val="20"/>
          <w:szCs w:val="20"/>
        </w:rPr>
        <w:t xml:space="preserve"> </w:t>
      </w:r>
      <w:hyperlink r:id="rId5" w:history="1">
        <w:r w:rsidR="0091600B" w:rsidRPr="007720A0">
          <w:rPr>
            <w:rStyle w:val="Hyperlink"/>
            <w:rFonts w:asciiTheme="minorHAnsi" w:hAnsiTheme="minorHAnsi"/>
            <w:sz w:val="20"/>
            <w:szCs w:val="20"/>
          </w:rPr>
          <w:t>https://www.americanrhetoric.com/speeches/richardfuldlehmanbrosbankruptcytestimony.htm</w:t>
        </w:r>
      </w:hyperlink>
      <w:r w:rsidR="0091600B" w:rsidRPr="007720A0">
        <w:rPr>
          <w:rFonts w:asciiTheme="minorHAnsi" w:hAnsiTheme="minorHAnsi"/>
          <w:sz w:val="20"/>
          <w:szCs w:val="20"/>
        </w:rPr>
        <w:t xml:space="preserve"> Here is Fuld’s relevant testimony re its 11 to 1 Tier 1 capital. </w:t>
      </w:r>
      <w:r w:rsidR="007720A0">
        <w:rPr>
          <w:rFonts w:asciiTheme="minorHAnsi" w:hAnsiTheme="minorHAnsi"/>
          <w:sz w:val="20"/>
          <w:szCs w:val="20"/>
        </w:rPr>
        <w:t>“</w:t>
      </w:r>
      <w:r w:rsidR="0091600B" w:rsidRPr="007720A0">
        <w:rPr>
          <w:rFonts w:asciiTheme="minorHAnsi" w:hAnsiTheme="minorHAnsi"/>
          <w:color w:val="000000"/>
          <w:sz w:val="20"/>
          <w:szCs w:val="20"/>
        </w:rPr>
        <w:t>As far as the leverage, and I spoke about it earlier, there's a very big difference between the 30 times and where we were when we finished in the third quarter at 10\1/2\. A big piece of what that 30 was, again, was the match book, which was governments and agencies. So that should not be considered as an additional piece of risky leverage.</w:t>
      </w:r>
      <w:r w:rsidR="007720A0">
        <w:rPr>
          <w:rFonts w:asciiTheme="minorHAnsi" w:hAnsiTheme="minorHAnsi"/>
          <w:color w:val="000000"/>
          <w:sz w:val="20"/>
          <w:szCs w:val="20"/>
        </w:rPr>
        <w:t xml:space="preserve"> </w:t>
      </w:r>
      <w:r w:rsidR="0091600B" w:rsidRPr="007720A0">
        <w:rPr>
          <w:rFonts w:asciiTheme="minorHAnsi" w:hAnsiTheme="minorHAnsi"/>
          <w:color w:val="000000"/>
          <w:sz w:val="20"/>
          <w:szCs w:val="20"/>
        </w:rPr>
        <w:t>Again, I will say that on September 10th we finished with the best or one of the best leverage ratios on the street and one of the best tier 1 capital ratios on the street. And, even to your question, that's how I viewed the company, and that's why I viewed it as strong, Mr. Congressman. Those were the metrics. Those were the metrics that the regulators used. Those were the metrics that all of us in the industry</w:t>
      </w:r>
      <w:r w:rsidR="007720A0">
        <w:rPr>
          <w:rFonts w:asciiTheme="minorHAnsi" w:hAnsiTheme="minorHAnsi"/>
          <w:color w:val="000000"/>
          <w:sz w:val="20"/>
          <w:szCs w:val="20"/>
        </w:rPr>
        <w:t xml:space="preserve"> used, and ours were one of the </w:t>
      </w:r>
      <w:r w:rsidR="0091600B" w:rsidRPr="007720A0">
        <w:rPr>
          <w:rFonts w:asciiTheme="minorHAnsi" w:hAnsiTheme="minorHAnsi"/>
          <w:color w:val="000000"/>
          <w:sz w:val="20"/>
          <w:szCs w:val="20"/>
        </w:rPr>
        <w:t>best.</w:t>
      </w:r>
      <w:r w:rsidR="007720A0">
        <w:rPr>
          <w:rFonts w:asciiTheme="minorHAnsi" w:hAnsiTheme="minorHAnsi"/>
          <w:color w:val="000000"/>
          <w:sz w:val="20"/>
          <w:szCs w:val="20"/>
        </w:rPr>
        <w:t xml:space="preserve">” </w:t>
      </w:r>
    </w:p>
  </w:footnote>
  <w:footnote w:id="30">
    <w:p w14:paraId="1B1BBAAB" w14:textId="77777777" w:rsidR="0042163E" w:rsidRPr="00547977" w:rsidRDefault="0042163E" w:rsidP="007720A0">
      <w:pPr>
        <w:pStyle w:val="FootnoteText"/>
        <w:rPr>
          <w:sz w:val="20"/>
          <w:szCs w:val="20"/>
        </w:rPr>
      </w:pPr>
      <w:r w:rsidRPr="00547977">
        <w:rPr>
          <w:rStyle w:val="FootnoteReference"/>
          <w:sz w:val="20"/>
          <w:szCs w:val="20"/>
        </w:rPr>
        <w:footnoteRef/>
      </w:r>
      <w:r w:rsidRPr="00547977">
        <w:rPr>
          <w:sz w:val="20"/>
          <w:szCs w:val="20"/>
        </w:rPr>
        <w:t xml:space="preserve"> https://www.federalreserve.gov/newsevents/pressreleases/bcreg20180621a.htm</w:t>
      </w:r>
    </w:p>
  </w:footnote>
  <w:footnote w:id="31">
    <w:p w14:paraId="4E5E001F" w14:textId="69C5CCC1" w:rsidR="0042163E" w:rsidRPr="00547977" w:rsidRDefault="0042163E" w:rsidP="007720A0">
      <w:pPr>
        <w:rPr>
          <w:rFonts w:asciiTheme="minorHAnsi" w:hAnsiTheme="minorHAnsi"/>
        </w:rPr>
      </w:pPr>
      <w:r w:rsidRPr="00547977">
        <w:rPr>
          <w:rStyle w:val="FootnoteReference"/>
          <w:rFonts w:asciiTheme="minorHAnsi" w:hAnsiTheme="minorHAnsi"/>
          <w:sz w:val="20"/>
          <w:szCs w:val="20"/>
        </w:rPr>
        <w:footnoteRef/>
      </w:r>
      <w:r w:rsidRPr="00547977">
        <w:rPr>
          <w:rFonts w:asciiTheme="minorHAnsi" w:hAnsiTheme="minorHAnsi"/>
          <w:sz w:val="20"/>
          <w:szCs w:val="20"/>
        </w:rPr>
        <w:t xml:space="preserve"> https://www.publicintegrity.org/2009/05/06/5452/predatory-lending-decade-warnings</w:t>
      </w:r>
    </w:p>
  </w:footnote>
  <w:footnote w:id="32">
    <w:p w14:paraId="1F8B8DE0" w14:textId="33C6CF03" w:rsidR="0042163E" w:rsidRPr="00547977" w:rsidRDefault="0042163E" w:rsidP="007720A0">
      <w:pPr>
        <w:pStyle w:val="FootnoteText"/>
        <w:rPr>
          <w:sz w:val="20"/>
          <w:szCs w:val="20"/>
        </w:rPr>
      </w:pPr>
      <w:r w:rsidRPr="00547977">
        <w:rPr>
          <w:rStyle w:val="FootnoteReference"/>
          <w:sz w:val="20"/>
          <w:szCs w:val="20"/>
        </w:rPr>
        <w:footnoteRef/>
      </w:r>
      <w:r w:rsidRPr="00547977">
        <w:rPr>
          <w:sz w:val="20"/>
          <w:szCs w:val="20"/>
        </w:rPr>
        <w:t xml:space="preserve"> Ibid.</w:t>
      </w:r>
    </w:p>
  </w:footnote>
  <w:footnote w:id="33">
    <w:p w14:paraId="020FF618" w14:textId="4EFD6E86" w:rsidR="0042163E" w:rsidRPr="00547977" w:rsidRDefault="0042163E" w:rsidP="007720A0">
      <w:pPr>
        <w:pStyle w:val="FootnoteText"/>
        <w:jc w:val="both"/>
        <w:rPr>
          <w:sz w:val="20"/>
          <w:szCs w:val="20"/>
        </w:rPr>
      </w:pPr>
      <w:r w:rsidRPr="00547977">
        <w:rPr>
          <w:rStyle w:val="FootnoteReference"/>
        </w:rPr>
        <w:footnoteRef/>
      </w:r>
      <w:r w:rsidRPr="00547977">
        <w:t xml:space="preserve"> </w:t>
      </w:r>
      <w:r w:rsidRPr="00547977">
        <w:rPr>
          <w:sz w:val="20"/>
          <w:szCs w:val="20"/>
        </w:rPr>
        <w:t>https://www.google.com/search?tbm=isch&amp;q=mba+chart+subprime+series+delinquency+chart&amp;chips=q:mba+chart+subprime+series+delinquency+chart,online_chips:delinquency+rates,online_chips:subprime+mortgages&amp;sa=X&amp;ved=0ahUKEwi_yb-XzMTdAhXOmuAKHfb7BkwQ4lYIKigB&amp;biw=1261&amp;bih=710&amp;dpr=2#imgrc=jmEmu25vcPO3RM:</w:t>
      </w:r>
    </w:p>
  </w:footnote>
  <w:footnote w:id="34">
    <w:p w14:paraId="10B36EE5" w14:textId="7DE6D9BA" w:rsidR="0042163E" w:rsidRPr="00547977" w:rsidRDefault="0042163E" w:rsidP="001C69B4">
      <w:pPr>
        <w:pStyle w:val="FootnoteText"/>
        <w:jc w:val="both"/>
      </w:pPr>
      <w:r w:rsidRPr="00547977">
        <w:rPr>
          <w:rStyle w:val="FootnoteReference"/>
          <w:sz w:val="20"/>
          <w:szCs w:val="20"/>
        </w:rPr>
        <w:footnoteRef/>
      </w:r>
      <w:r w:rsidRPr="00547977">
        <w:rPr>
          <w:sz w:val="20"/>
          <w:szCs w:val="20"/>
        </w:rPr>
        <w:t xml:space="preserve"> https://fred.stlouisfed.org/series/HHMSDODNS</w:t>
      </w:r>
    </w:p>
  </w:footnote>
  <w:footnote w:id="35">
    <w:p w14:paraId="4856A6C0" w14:textId="2EEFE7D1" w:rsidR="0042163E" w:rsidRPr="00547977" w:rsidRDefault="0042163E">
      <w:pPr>
        <w:pStyle w:val="FootnoteText"/>
        <w:rPr>
          <w:sz w:val="20"/>
          <w:szCs w:val="20"/>
        </w:rPr>
      </w:pPr>
      <w:r w:rsidRPr="00547977">
        <w:rPr>
          <w:rStyle w:val="FootnoteReference"/>
          <w:sz w:val="20"/>
          <w:szCs w:val="20"/>
        </w:rPr>
        <w:footnoteRef/>
      </w:r>
      <w:r w:rsidRPr="00547977">
        <w:rPr>
          <w:sz w:val="20"/>
          <w:szCs w:val="20"/>
        </w:rPr>
        <w:t xml:space="preserve"> https://fred.stlouisfed.org/series/MDOTHIOH</w:t>
      </w:r>
    </w:p>
  </w:footnote>
  <w:footnote w:id="36">
    <w:p w14:paraId="68A402D1" w14:textId="237D4AC1" w:rsidR="0042163E" w:rsidRPr="00527B97" w:rsidRDefault="0042163E">
      <w:pPr>
        <w:pStyle w:val="FootnoteText"/>
        <w:rPr>
          <w:sz w:val="20"/>
          <w:szCs w:val="20"/>
        </w:rPr>
      </w:pPr>
      <w:r w:rsidRPr="00547977">
        <w:rPr>
          <w:rStyle w:val="FootnoteReference"/>
          <w:sz w:val="20"/>
          <w:szCs w:val="20"/>
        </w:rPr>
        <w:footnoteRef/>
      </w:r>
      <w:r w:rsidRPr="00547977">
        <w:rPr>
          <w:sz w:val="20"/>
          <w:szCs w:val="20"/>
        </w:rPr>
        <w:t xml:space="preserve"> https://fred.stlouisfed.org/series/TDSP</w:t>
      </w:r>
    </w:p>
  </w:footnote>
  <w:footnote w:id="37">
    <w:p w14:paraId="60E310D4" w14:textId="5BA83DE2" w:rsidR="0042163E" w:rsidRPr="00547977" w:rsidRDefault="0042163E">
      <w:pPr>
        <w:pStyle w:val="FootnoteText"/>
        <w:rPr>
          <w:sz w:val="20"/>
          <w:szCs w:val="20"/>
        </w:rPr>
      </w:pPr>
      <w:r w:rsidRPr="00547977">
        <w:rPr>
          <w:rStyle w:val="FootnoteReference"/>
          <w:sz w:val="20"/>
          <w:szCs w:val="20"/>
        </w:rPr>
        <w:footnoteRef/>
      </w:r>
      <w:r w:rsidRPr="00547977">
        <w:rPr>
          <w:sz w:val="20"/>
          <w:szCs w:val="20"/>
        </w:rPr>
        <w:t xml:space="preserve"> https://fred.stlouisfed.org/series/DDDM01USA156NWDB</w:t>
      </w:r>
    </w:p>
  </w:footnote>
  <w:footnote w:id="38">
    <w:p w14:paraId="2D360E07" w14:textId="1E38D09A" w:rsidR="0042163E" w:rsidRPr="00547977" w:rsidRDefault="0042163E">
      <w:pPr>
        <w:pStyle w:val="FootnoteText"/>
        <w:rPr>
          <w:sz w:val="20"/>
          <w:szCs w:val="20"/>
        </w:rPr>
      </w:pPr>
      <w:r w:rsidRPr="00547977">
        <w:rPr>
          <w:rStyle w:val="FootnoteReference"/>
          <w:sz w:val="20"/>
          <w:szCs w:val="20"/>
        </w:rPr>
        <w:footnoteRef/>
      </w:r>
      <w:r w:rsidRPr="00547977">
        <w:rPr>
          <w:sz w:val="20"/>
          <w:szCs w:val="20"/>
        </w:rPr>
        <w:t xml:space="preserve"> https://fred.stlouisfed.org/series/IIPFINANCNQ</w:t>
      </w:r>
    </w:p>
  </w:footnote>
  <w:footnote w:id="39">
    <w:p w14:paraId="75C87036" w14:textId="77777777" w:rsidR="0042163E" w:rsidRPr="00547977" w:rsidRDefault="0042163E" w:rsidP="008F0A4E">
      <w:pPr>
        <w:jc w:val="both"/>
        <w:rPr>
          <w:rFonts w:asciiTheme="minorHAnsi" w:eastAsia="Times New Roman" w:hAnsiTheme="minorHAnsi"/>
          <w:sz w:val="20"/>
          <w:szCs w:val="20"/>
        </w:rPr>
      </w:pPr>
      <w:r w:rsidRPr="00547977">
        <w:rPr>
          <w:rStyle w:val="FootnoteReference"/>
          <w:rFonts w:asciiTheme="minorHAnsi" w:hAnsiTheme="minorHAnsi"/>
          <w:sz w:val="20"/>
          <w:szCs w:val="20"/>
        </w:rPr>
        <w:footnoteRef/>
      </w:r>
      <w:r w:rsidRPr="00547977">
        <w:rPr>
          <w:rFonts w:asciiTheme="minorHAnsi" w:hAnsiTheme="minorHAnsi"/>
          <w:sz w:val="20"/>
          <w:szCs w:val="20"/>
        </w:rPr>
        <w:t xml:space="preserve"> </w:t>
      </w:r>
      <w:r w:rsidRPr="00547977">
        <w:rPr>
          <w:rFonts w:asciiTheme="minorHAnsi" w:eastAsia="Times New Roman" w:hAnsiTheme="minorHAnsi" w:cs="Arial"/>
          <w:color w:val="222222"/>
          <w:sz w:val="20"/>
          <w:szCs w:val="20"/>
          <w:shd w:val="clear" w:color="auto" w:fill="FFFFFF"/>
        </w:rPr>
        <w:t>Ospina, Juan, and Harald Uhlig. </w:t>
      </w:r>
      <w:r w:rsidRPr="00547977">
        <w:rPr>
          <w:rFonts w:asciiTheme="minorHAnsi" w:eastAsia="Times New Roman" w:hAnsiTheme="minorHAnsi" w:cs="Arial"/>
          <w:i/>
          <w:iCs/>
          <w:color w:val="222222"/>
          <w:sz w:val="20"/>
          <w:szCs w:val="20"/>
          <w:shd w:val="clear" w:color="auto" w:fill="FFFFFF"/>
        </w:rPr>
        <w:t>Mortgage-backed securities and the financial crisis of 2008: a post mortem</w:t>
      </w:r>
      <w:r w:rsidRPr="00547977">
        <w:rPr>
          <w:rFonts w:asciiTheme="minorHAnsi" w:eastAsia="Times New Roman" w:hAnsiTheme="minorHAnsi" w:cs="Arial"/>
          <w:color w:val="222222"/>
          <w:sz w:val="20"/>
          <w:szCs w:val="20"/>
          <w:shd w:val="clear" w:color="auto" w:fill="FFFFFF"/>
        </w:rPr>
        <w:t>. No. w24509. National Bureau of Economic Research, 2018.</w:t>
      </w:r>
    </w:p>
    <w:p w14:paraId="67406935" w14:textId="02AE82A8" w:rsidR="0042163E" w:rsidRDefault="0042163E">
      <w:pPr>
        <w:pStyle w:val="FootnoteText"/>
      </w:pPr>
    </w:p>
  </w:footnote>
  <w:footnote w:id="40">
    <w:p w14:paraId="3F39820F" w14:textId="2DD306D0" w:rsidR="0042163E" w:rsidRPr="002646C9" w:rsidRDefault="0042163E" w:rsidP="002646C9">
      <w:pPr>
        <w:pStyle w:val="FootnoteText"/>
        <w:jc w:val="both"/>
        <w:rPr>
          <w:sz w:val="20"/>
          <w:szCs w:val="20"/>
        </w:rPr>
      </w:pPr>
      <w:r w:rsidRPr="002646C9">
        <w:rPr>
          <w:rStyle w:val="FootnoteReference"/>
          <w:sz w:val="20"/>
          <w:szCs w:val="20"/>
        </w:rPr>
        <w:footnoteRef/>
      </w:r>
      <w:r w:rsidRPr="002646C9">
        <w:rPr>
          <w:sz w:val="20"/>
          <w:szCs w:val="20"/>
        </w:rPr>
        <w:t xml:space="preserve"> https://fred.stlouisfed.org/series/FBREPOA027N</w:t>
      </w:r>
    </w:p>
  </w:footnote>
  <w:footnote w:id="41">
    <w:p w14:paraId="361C3620" w14:textId="778D8061" w:rsidR="0042163E" w:rsidRPr="005A6057" w:rsidRDefault="0042163E">
      <w:pPr>
        <w:pStyle w:val="FootnoteText"/>
        <w:rPr>
          <w:sz w:val="20"/>
          <w:szCs w:val="20"/>
        </w:rPr>
      </w:pPr>
      <w:r w:rsidRPr="005A6057">
        <w:rPr>
          <w:rStyle w:val="FootnoteReference"/>
          <w:sz w:val="20"/>
          <w:szCs w:val="20"/>
        </w:rPr>
        <w:footnoteRef/>
      </w:r>
      <w:r w:rsidRPr="005A6057">
        <w:rPr>
          <w:sz w:val="20"/>
          <w:szCs w:val="20"/>
        </w:rPr>
        <w:t xml:space="preserve"> https://www.statista.com/statistics/191985/sales-of-smartphones-in-the-us-since-2005/</w:t>
      </w:r>
    </w:p>
  </w:footnote>
  <w:footnote w:id="42">
    <w:p w14:paraId="02B3B6D3" w14:textId="77777777" w:rsidR="0042163E" w:rsidRPr="00472510" w:rsidRDefault="0042163E" w:rsidP="00472510">
      <w:pPr>
        <w:jc w:val="both"/>
        <w:rPr>
          <w:rFonts w:eastAsia="Times New Roman"/>
          <w:sz w:val="20"/>
          <w:szCs w:val="20"/>
        </w:rPr>
      </w:pPr>
      <w:r w:rsidRPr="005A6057">
        <w:rPr>
          <w:rStyle w:val="FootnoteReference"/>
          <w:sz w:val="20"/>
          <w:szCs w:val="20"/>
        </w:rPr>
        <w:footnoteRef/>
      </w:r>
      <w:r w:rsidRPr="005A6057">
        <w:rPr>
          <w:sz w:val="20"/>
          <w:szCs w:val="20"/>
        </w:rPr>
        <w:t xml:space="preserve"> </w:t>
      </w:r>
      <w:hyperlink r:id="rId6" w:history="1">
        <w:r w:rsidRPr="00890E6E">
          <w:rPr>
            <w:rStyle w:val="Hyperlink"/>
            <w:sz w:val="20"/>
            <w:szCs w:val="20"/>
          </w:rPr>
          <w:t>https://pubs.aeaweb.org/doi/pdfplus/10.1257/jel.50.1.151</w:t>
        </w:r>
      </w:hyperlink>
      <w:r w:rsidRPr="00472510">
        <w:rPr>
          <w:sz w:val="20"/>
          <w:szCs w:val="20"/>
        </w:rPr>
        <w:t xml:space="preserve">, </w:t>
      </w:r>
      <w:r w:rsidRPr="00472510">
        <w:rPr>
          <w:rFonts w:eastAsia="Times New Roman"/>
          <w:color w:val="222222"/>
          <w:sz w:val="20"/>
          <w:szCs w:val="20"/>
          <w:shd w:val="clear" w:color="auto" w:fill="FFFFFF"/>
        </w:rPr>
        <w:t> </w:t>
      </w:r>
      <w:r w:rsidRPr="00472510">
        <w:rPr>
          <w:rStyle w:val="HTMLCite"/>
          <w:rFonts w:eastAsia="Times New Roman"/>
          <w:color w:val="222222"/>
          <w:sz w:val="20"/>
          <w:szCs w:val="20"/>
          <w:shd w:val="clear" w:color="auto" w:fill="FFFFFF"/>
        </w:rPr>
        <w:t>Green, Joshua (September 12, 2013). </w:t>
      </w:r>
      <w:hyperlink r:id="rId7" w:history="1">
        <w:r w:rsidRPr="00472510">
          <w:rPr>
            <w:rStyle w:val="Hyperlink"/>
            <w:rFonts w:eastAsia="Times New Roman"/>
            <w:i/>
            <w:iCs/>
            <w:color w:val="663366"/>
            <w:sz w:val="20"/>
            <w:szCs w:val="20"/>
            <w:shd w:val="clear" w:color="auto" w:fill="FFFFFF"/>
          </w:rPr>
          <w:t>"Where Is Dick Fuld Now? Finding Lehman Brothers' Last CEO"</w:t>
        </w:r>
      </w:hyperlink>
      <w:r w:rsidRPr="00472510">
        <w:rPr>
          <w:rStyle w:val="HTMLCite"/>
          <w:rFonts w:eastAsia="Times New Roman"/>
          <w:color w:val="222222"/>
          <w:sz w:val="20"/>
          <w:szCs w:val="20"/>
          <w:shd w:val="clear" w:color="auto" w:fill="FFFFFF"/>
        </w:rPr>
        <w:t>. Bloomberg Businessweek.</w:t>
      </w:r>
    </w:p>
    <w:p w14:paraId="3E5A63F2" w14:textId="4F2680B1" w:rsidR="0042163E" w:rsidRPr="005F2E47" w:rsidRDefault="0042163E" w:rsidP="005F2E47">
      <w:pPr>
        <w:pStyle w:val="FootnoteText"/>
        <w:jc w:val="both"/>
        <w:rPr>
          <w:sz w:val="20"/>
          <w:szCs w:val="20"/>
        </w:rPr>
      </w:pPr>
    </w:p>
  </w:footnote>
  <w:footnote w:id="43">
    <w:p w14:paraId="285ECFF5" w14:textId="77777777" w:rsidR="0042163E" w:rsidRPr="005F2E47" w:rsidRDefault="0042163E" w:rsidP="005F2E47">
      <w:pPr>
        <w:jc w:val="both"/>
        <w:rPr>
          <w:rFonts w:eastAsia="Times New Roman"/>
          <w:sz w:val="20"/>
          <w:szCs w:val="20"/>
        </w:rPr>
      </w:pPr>
      <w:r w:rsidRPr="005F2E47">
        <w:rPr>
          <w:rStyle w:val="FootnoteReference"/>
          <w:sz w:val="20"/>
          <w:szCs w:val="20"/>
        </w:rPr>
        <w:footnoteRef/>
      </w:r>
      <w:r w:rsidRPr="005F2E47">
        <w:rPr>
          <w:sz w:val="20"/>
          <w:szCs w:val="20"/>
        </w:rPr>
        <w:t xml:space="preserve"> </w:t>
      </w:r>
      <w:r w:rsidRPr="005F2E47">
        <w:rPr>
          <w:rFonts w:eastAsia="Times New Roman" w:cs="Arial"/>
          <w:color w:val="222222"/>
          <w:sz w:val="20"/>
          <w:szCs w:val="20"/>
          <w:shd w:val="clear" w:color="auto" w:fill="FFFFFF"/>
        </w:rPr>
        <w:t>Fahlenbrach, Rüdiger, and René M. Stulz. "Bank CEO incentives and the credit crisis." </w:t>
      </w:r>
      <w:r w:rsidRPr="005F2E47">
        <w:rPr>
          <w:rFonts w:eastAsia="Times New Roman" w:cs="Arial"/>
          <w:i/>
          <w:iCs/>
          <w:color w:val="222222"/>
          <w:sz w:val="20"/>
          <w:szCs w:val="20"/>
          <w:shd w:val="clear" w:color="auto" w:fill="FFFFFF"/>
        </w:rPr>
        <w:t>Journal of financial economics</w:t>
      </w:r>
      <w:r w:rsidRPr="005F2E47">
        <w:rPr>
          <w:rFonts w:eastAsia="Times New Roman" w:cs="Arial"/>
          <w:color w:val="222222"/>
          <w:sz w:val="20"/>
          <w:szCs w:val="20"/>
          <w:shd w:val="clear" w:color="auto" w:fill="FFFFFF"/>
        </w:rPr>
        <w:t>99, no. 1 (2011): 11-26.</w:t>
      </w:r>
    </w:p>
    <w:p w14:paraId="01CDE7B1" w14:textId="1141018A" w:rsidR="0042163E" w:rsidRDefault="0042163E">
      <w:pPr>
        <w:pStyle w:val="FootnoteText"/>
      </w:pPr>
    </w:p>
  </w:footnote>
  <w:footnote w:id="44">
    <w:p w14:paraId="28F00E3E" w14:textId="70AC834E" w:rsidR="0042163E" w:rsidRPr="006B65EF" w:rsidRDefault="0042163E">
      <w:pPr>
        <w:pStyle w:val="FootnoteText"/>
        <w:rPr>
          <w:sz w:val="20"/>
          <w:szCs w:val="20"/>
        </w:rPr>
      </w:pPr>
      <w:r w:rsidRPr="006B65EF">
        <w:rPr>
          <w:rStyle w:val="FootnoteReference"/>
          <w:sz w:val="20"/>
          <w:szCs w:val="20"/>
        </w:rPr>
        <w:footnoteRef/>
      </w:r>
      <w:r w:rsidRPr="006B65EF">
        <w:rPr>
          <w:sz w:val="20"/>
          <w:szCs w:val="20"/>
        </w:rPr>
        <w:t xml:space="preserve"> https://fred.stlouisfed.org/series/MORTGAGE30US</w:t>
      </w:r>
    </w:p>
  </w:footnote>
  <w:footnote w:id="45">
    <w:p w14:paraId="31723067" w14:textId="3C2C529B" w:rsidR="0042163E" w:rsidRPr="00670F4E" w:rsidRDefault="0042163E" w:rsidP="00A30EFD">
      <w:pPr>
        <w:pStyle w:val="FootnoteText"/>
        <w:rPr>
          <w:sz w:val="20"/>
          <w:szCs w:val="20"/>
        </w:rPr>
      </w:pPr>
      <w:r w:rsidRPr="00A30EFD">
        <w:rPr>
          <w:rStyle w:val="FootnoteReference"/>
          <w:sz w:val="20"/>
          <w:szCs w:val="20"/>
        </w:rPr>
        <w:footnoteRef/>
      </w:r>
      <w:r w:rsidRPr="00A30EFD">
        <w:rPr>
          <w:sz w:val="20"/>
          <w:szCs w:val="20"/>
        </w:rPr>
        <w:t xml:space="preserve"> See https://fred.stlouisfed.org/series/MORTGAGE30US#0 and ht</w:t>
      </w:r>
      <w:r w:rsidRPr="00670F4E">
        <w:rPr>
          <w:sz w:val="20"/>
          <w:szCs w:val="20"/>
        </w:rPr>
        <w:t>tps://fred.stlouisfed.org/series/PCEPI.</w:t>
      </w:r>
    </w:p>
  </w:footnote>
  <w:footnote w:id="46">
    <w:p w14:paraId="0B4C50BE" w14:textId="1CA68AEC" w:rsidR="0042163E" w:rsidRPr="00670F4E" w:rsidRDefault="0042163E">
      <w:pPr>
        <w:pStyle w:val="FootnoteText"/>
        <w:rPr>
          <w:sz w:val="20"/>
          <w:szCs w:val="20"/>
        </w:rPr>
      </w:pPr>
      <w:r w:rsidRPr="00670F4E">
        <w:rPr>
          <w:rStyle w:val="FootnoteReference"/>
          <w:sz w:val="20"/>
          <w:szCs w:val="20"/>
        </w:rPr>
        <w:footnoteRef/>
      </w:r>
      <w:r w:rsidRPr="00670F4E">
        <w:rPr>
          <w:sz w:val="20"/>
          <w:szCs w:val="20"/>
        </w:rPr>
        <w:t xml:space="preserve"> </w:t>
      </w:r>
      <w:hyperlink r:id="rId8" w:anchor="0" w:history="1">
        <w:r w:rsidRPr="00670F4E">
          <w:rPr>
            <w:rStyle w:val="Hyperlink"/>
            <w:sz w:val="20"/>
            <w:szCs w:val="20"/>
          </w:rPr>
          <w:t>https://fred.stlouisfed.org/series/MORTGAGE5US#0</w:t>
        </w:r>
      </w:hyperlink>
      <w:r w:rsidRPr="00670F4E">
        <w:rPr>
          <w:sz w:val="20"/>
          <w:szCs w:val="20"/>
        </w:rPr>
        <w:t xml:space="preserve"> and https://fred.stlouisfed.org/series/PCEPI.</w:t>
      </w:r>
    </w:p>
  </w:footnote>
  <w:footnote w:id="47">
    <w:p w14:paraId="66AE4D7C" w14:textId="1084F2CF" w:rsidR="0042163E" w:rsidRDefault="0042163E" w:rsidP="0049793E">
      <w:pPr>
        <w:jc w:val="both"/>
      </w:pPr>
      <w:r w:rsidRPr="006043DF">
        <w:rPr>
          <w:rStyle w:val="FootnoteReference"/>
          <w:rFonts w:asciiTheme="minorHAnsi" w:hAnsiTheme="minorHAnsi"/>
          <w:sz w:val="20"/>
          <w:szCs w:val="20"/>
        </w:rPr>
        <w:footnoteRef/>
      </w:r>
      <w:r>
        <w:rPr>
          <w:rFonts w:asciiTheme="minorHAnsi" w:hAnsiTheme="minorHAnsi"/>
          <w:sz w:val="20"/>
          <w:szCs w:val="20"/>
        </w:rPr>
        <w:t xml:space="preserve"> See </w:t>
      </w:r>
      <w:r w:rsidRPr="006043DF">
        <w:rPr>
          <w:rFonts w:asciiTheme="minorHAnsi" w:eastAsia="Times New Roman" w:hAnsiTheme="minorHAnsi" w:cs="Arial"/>
          <w:color w:val="222222"/>
          <w:sz w:val="20"/>
          <w:szCs w:val="20"/>
          <w:shd w:val="clear" w:color="auto" w:fill="FFFFFF"/>
        </w:rPr>
        <w:t>Kotlikoff</w:t>
      </w:r>
      <w:r>
        <w:rPr>
          <w:rFonts w:asciiTheme="minorHAnsi" w:eastAsia="Times New Roman" w:hAnsiTheme="minorHAnsi" w:cs="Arial"/>
          <w:color w:val="222222"/>
          <w:sz w:val="20"/>
          <w:szCs w:val="20"/>
          <w:shd w:val="clear" w:color="auto" w:fill="FFFFFF"/>
        </w:rPr>
        <w:t xml:space="preserve"> (2012) for a discussion of the British Vickers Commission reform</w:t>
      </w:r>
      <w:r w:rsidRPr="006043DF">
        <w:rPr>
          <w:rFonts w:asciiTheme="minorHAnsi" w:eastAsia="Times New Roman" w:hAnsiTheme="minorHAnsi" w:cs="Arial"/>
          <w:color w:val="222222"/>
          <w:sz w:val="20"/>
          <w:szCs w:val="20"/>
          <w:shd w:val="clear" w:color="auto" w:fill="FFFFFF"/>
        </w:rPr>
        <w:t>.</w:t>
      </w:r>
    </w:p>
  </w:footnote>
  <w:footnote w:id="48">
    <w:p w14:paraId="157D54E1" w14:textId="6E728242" w:rsidR="0042163E" w:rsidRDefault="0042163E" w:rsidP="00C621AD">
      <w:pPr>
        <w:jc w:val="both"/>
      </w:pPr>
      <w:r w:rsidRPr="00C621AD">
        <w:rPr>
          <w:rStyle w:val="FootnoteReference"/>
          <w:rFonts w:ascii="Calibri" w:hAnsi="Calibri"/>
          <w:sz w:val="20"/>
          <w:szCs w:val="20"/>
        </w:rPr>
        <w:footnoteRef/>
      </w:r>
      <w:r w:rsidRPr="00C621AD">
        <w:rPr>
          <w:rFonts w:ascii="Calibri" w:hAnsi="Calibri"/>
          <w:sz w:val="20"/>
          <w:szCs w:val="20"/>
        </w:rPr>
        <w:t xml:space="preserve"> </w:t>
      </w:r>
      <w:r>
        <w:rPr>
          <w:rFonts w:ascii="Calibri" w:hAnsi="Calibri"/>
          <w:sz w:val="20"/>
          <w:szCs w:val="20"/>
        </w:rPr>
        <w:t xml:space="preserve">Diamond-Dybvig (1983) explain bank runs as depositors collectively running to claim their money, which the bank invested, on their behalf illiquidly with the promise to give those with unexpectedly high short-term liquidity needs a higher return on their savings. But the runs on Bear, Lehman, AIG, and most of the other 29 major international financial companies to fail before and during the GR were creditor defunding runs. They can be easily modeled if one assumes that leveraged banks need a critical amount of credit to operate. </w:t>
      </w:r>
      <w:r w:rsidRPr="00C621AD">
        <w:rPr>
          <w:rFonts w:ascii="Calibri" w:hAnsi="Calibri"/>
          <w:sz w:val="20"/>
          <w:szCs w:val="20"/>
        </w:rPr>
        <w:t xml:space="preserve">Thus, if no one runs on (i.e., runs away from) Lehman Brothers in September 2008, it’s safe for everyone to stay with Lehman. But if others run or may run, it’s best to play it safe and run as well. </w:t>
      </w:r>
      <w:r>
        <w:rPr>
          <w:rFonts w:ascii="Calibri" w:hAnsi="Calibri"/>
          <w:sz w:val="20"/>
          <w:szCs w:val="20"/>
        </w:rPr>
        <w:t>I</w:t>
      </w:r>
      <w:r w:rsidRPr="00C621AD">
        <w:rPr>
          <w:rFonts w:ascii="Calibri" w:hAnsi="Calibri"/>
          <w:sz w:val="20"/>
          <w:szCs w:val="20"/>
        </w:rPr>
        <w:t>f enough players fail to provi</w:t>
      </w:r>
      <w:r>
        <w:rPr>
          <w:rFonts w:ascii="Calibri" w:hAnsi="Calibri"/>
          <w:sz w:val="20"/>
          <w:szCs w:val="20"/>
        </w:rPr>
        <w:t>de Lehman</w:t>
      </w:r>
      <w:r w:rsidRPr="00C621AD">
        <w:rPr>
          <w:rFonts w:ascii="Calibri" w:hAnsi="Calibri"/>
          <w:sz w:val="20"/>
          <w:szCs w:val="20"/>
        </w:rPr>
        <w:t xml:space="preserve"> </w:t>
      </w:r>
      <w:r>
        <w:rPr>
          <w:rFonts w:ascii="Calibri" w:hAnsi="Calibri"/>
          <w:sz w:val="20"/>
          <w:szCs w:val="20"/>
        </w:rPr>
        <w:t xml:space="preserve">sufficient </w:t>
      </w:r>
      <w:r w:rsidRPr="00C621AD">
        <w:rPr>
          <w:rFonts w:ascii="Calibri" w:hAnsi="Calibri"/>
          <w:sz w:val="20"/>
          <w:szCs w:val="20"/>
        </w:rPr>
        <w:t xml:space="preserve">funding, </w:t>
      </w:r>
      <w:r>
        <w:rPr>
          <w:rFonts w:ascii="Calibri" w:hAnsi="Calibri"/>
          <w:sz w:val="20"/>
          <w:szCs w:val="20"/>
        </w:rPr>
        <w:t>any individual funder who can’t provide critical funding on their own will chose not to fund.</w:t>
      </w:r>
    </w:p>
  </w:footnote>
  <w:footnote w:id="49">
    <w:p w14:paraId="51CC8EF2" w14:textId="1360F07E" w:rsidR="0042163E" w:rsidRPr="00CC1093" w:rsidRDefault="0042163E" w:rsidP="003B7C62">
      <w:pPr>
        <w:jc w:val="both"/>
        <w:rPr>
          <w:sz w:val="20"/>
          <w:szCs w:val="20"/>
        </w:rPr>
      </w:pPr>
      <w:r>
        <w:rPr>
          <w:rStyle w:val="FootnoteReference"/>
        </w:rPr>
        <w:footnoteRef/>
      </w:r>
      <w:r>
        <w:rPr>
          <w:rFonts w:asciiTheme="minorHAnsi" w:hAnsiTheme="minorHAnsi"/>
          <w:sz w:val="20"/>
          <w:szCs w:val="20"/>
        </w:rPr>
        <w:t xml:space="preserve"> </w:t>
      </w:r>
      <w:r w:rsidRPr="00CC1093">
        <w:rPr>
          <w:rFonts w:asciiTheme="minorHAnsi" w:hAnsiTheme="minorHAnsi"/>
          <w:sz w:val="20"/>
          <w:szCs w:val="20"/>
        </w:rPr>
        <w:t xml:space="preserve">Multiple equilibria, in the simplest framework, are formally two or more sets of solutions to the same underlying equations. This means that the economy can flip from one equilibrium, say A, to the other, say B, simply if its participants all come to believe that the equilibrium is now B. Again, in the simplest framework, this flipping won’t be based on something fundamental since everything that’s fundamental is included in the equations. Instead, it will be based on something, like the appearance of a sun spot, that has nothing intrinsically to do with the economy. </w:t>
      </w:r>
    </w:p>
  </w:footnote>
  <w:footnote w:id="50">
    <w:p w14:paraId="10EACAAA" w14:textId="77777777" w:rsidR="0042163E" w:rsidRPr="00B9128D" w:rsidRDefault="0042163E" w:rsidP="00852F0F">
      <w:pPr>
        <w:pStyle w:val="FootnoteText"/>
        <w:contextualSpacing/>
        <w:jc w:val="both"/>
        <w:rPr>
          <w:sz w:val="20"/>
          <w:szCs w:val="20"/>
        </w:rPr>
      </w:pPr>
      <w:r w:rsidRPr="00B9128D">
        <w:rPr>
          <w:rStyle w:val="FootnoteReference"/>
          <w:sz w:val="20"/>
          <w:szCs w:val="20"/>
        </w:rPr>
        <w:footnoteRef/>
      </w:r>
      <w:r w:rsidRPr="00B9128D">
        <w:rPr>
          <w:sz w:val="20"/>
          <w:szCs w:val="20"/>
        </w:rPr>
        <w:t xml:space="preserve"> </w:t>
      </w:r>
      <w:r>
        <w:rPr>
          <w:sz w:val="20"/>
          <w:szCs w:val="20"/>
        </w:rPr>
        <w:t xml:space="preserve">In </w:t>
      </w:r>
      <w:r w:rsidRPr="00B9128D">
        <w:rPr>
          <w:sz w:val="20"/>
          <w:szCs w:val="20"/>
        </w:rPr>
        <w:t>Goldstein and Pauzner</w:t>
      </w:r>
      <w:r>
        <w:rPr>
          <w:sz w:val="20"/>
          <w:szCs w:val="20"/>
        </w:rPr>
        <w:t xml:space="preserve"> </w:t>
      </w:r>
      <w:r w:rsidRPr="00B9128D">
        <w:rPr>
          <w:sz w:val="20"/>
          <w:szCs w:val="20"/>
        </w:rPr>
        <w:t>(2005)</w:t>
      </w:r>
      <w:r>
        <w:rPr>
          <w:sz w:val="20"/>
          <w:szCs w:val="20"/>
        </w:rPr>
        <w:t>, common news is about the productivity of capital. But in a richer model, in which there are firing runs, the fundamental shock could be that a firing run has started, perhaps triggered by the failure of one or more major financial institutions.</w:t>
      </w:r>
    </w:p>
  </w:footnote>
  <w:footnote w:id="51">
    <w:p w14:paraId="0450D215" w14:textId="6A99A06B" w:rsidR="0042163E" w:rsidRPr="00A409F1" w:rsidRDefault="0042163E" w:rsidP="00A409F1">
      <w:pPr>
        <w:contextualSpacing/>
        <w:jc w:val="both"/>
        <w:rPr>
          <w:rFonts w:asciiTheme="minorHAnsi" w:eastAsia="Times New Roman" w:hAnsiTheme="minorHAnsi"/>
          <w:sz w:val="20"/>
          <w:szCs w:val="20"/>
        </w:rPr>
      </w:pPr>
      <w:r w:rsidRPr="00A409F1">
        <w:rPr>
          <w:rStyle w:val="FootnoteReference"/>
          <w:sz w:val="20"/>
          <w:szCs w:val="20"/>
        </w:rPr>
        <w:footnoteRef/>
      </w:r>
      <w:r w:rsidRPr="00A409F1">
        <w:rPr>
          <w:sz w:val="20"/>
          <w:szCs w:val="20"/>
        </w:rPr>
        <w:t xml:space="preserve"> </w:t>
      </w:r>
      <w:r w:rsidRPr="00A409F1">
        <w:rPr>
          <w:rFonts w:asciiTheme="minorHAnsi" w:eastAsia="Times New Roman" w:hAnsiTheme="minorHAnsi"/>
          <w:sz w:val="20"/>
          <w:szCs w:val="20"/>
        </w:rPr>
        <w:t xml:space="preserve">Intuitively, if someone yells </w:t>
      </w:r>
      <w:r w:rsidRPr="00A409F1">
        <w:rPr>
          <w:rFonts w:asciiTheme="minorHAnsi" w:eastAsia="Times New Roman" w:hAnsiTheme="minorHAnsi"/>
          <w:i/>
          <w:sz w:val="20"/>
          <w:szCs w:val="20"/>
        </w:rPr>
        <w:t>FIRE</w:t>
      </w:r>
      <w:r w:rsidRPr="00A409F1">
        <w:rPr>
          <w:rFonts w:asciiTheme="minorHAnsi" w:eastAsia="Times New Roman" w:hAnsiTheme="minorHAnsi"/>
          <w:sz w:val="20"/>
          <w:szCs w:val="20"/>
        </w:rPr>
        <w:t xml:space="preserve"> in a crowded room, everyone runs even if no one smells smoke. The same is true of bank creditors, when it comes to refinancing a Bear Sterns or a Lehman Brothers. </w:t>
      </w:r>
    </w:p>
  </w:footnote>
  <w:footnote w:id="52">
    <w:p w14:paraId="49470570" w14:textId="77777777" w:rsidR="0042163E" w:rsidRPr="00840381" w:rsidRDefault="0042163E" w:rsidP="00DE33D4">
      <w:pPr>
        <w:pStyle w:val="FootnoteText"/>
        <w:contextualSpacing/>
        <w:rPr>
          <w:sz w:val="20"/>
          <w:szCs w:val="20"/>
        </w:rPr>
      </w:pPr>
      <w:r w:rsidRPr="00840381">
        <w:rPr>
          <w:rStyle w:val="FootnoteReference"/>
          <w:sz w:val="20"/>
          <w:szCs w:val="20"/>
        </w:rPr>
        <w:footnoteRef/>
      </w:r>
      <w:r w:rsidRPr="00840381">
        <w:rPr>
          <w:sz w:val="20"/>
          <w:szCs w:val="20"/>
        </w:rPr>
        <w:t xml:space="preserve"> https://www.americanrhetoric.com/speeches/richardfuldlehmanbrosbankruptcytestimony.htm</w:t>
      </w:r>
    </w:p>
  </w:footnote>
  <w:footnote w:id="53">
    <w:p w14:paraId="0CA134BB" w14:textId="77777777" w:rsidR="0042163E" w:rsidRPr="00C60FF7" w:rsidRDefault="0042163E" w:rsidP="00BD435A">
      <w:pPr>
        <w:pStyle w:val="FootnoteText"/>
        <w:jc w:val="both"/>
        <w:rPr>
          <w:sz w:val="20"/>
          <w:szCs w:val="20"/>
        </w:rPr>
      </w:pPr>
      <w:r w:rsidRPr="00810B0D">
        <w:rPr>
          <w:rStyle w:val="FootnoteReference"/>
          <w:sz w:val="20"/>
          <w:szCs w:val="20"/>
        </w:rPr>
        <w:footnoteRef/>
      </w:r>
      <w:r w:rsidRPr="00810B0D">
        <w:rPr>
          <w:sz w:val="20"/>
          <w:szCs w:val="20"/>
        </w:rPr>
        <w:t xml:space="preserve"> http://www.washingtonpost.com/wp-dyn/content/article/2010/05/05/AR2010050505104.html</w:t>
      </w:r>
    </w:p>
  </w:footnote>
  <w:footnote w:id="54">
    <w:p w14:paraId="77C04783" w14:textId="3C0E0785" w:rsidR="00C60FF7" w:rsidRDefault="00C60FF7">
      <w:pPr>
        <w:pStyle w:val="FootnoteText"/>
      </w:pPr>
      <w:r w:rsidRPr="00C60FF7">
        <w:rPr>
          <w:rStyle w:val="FootnoteReference"/>
          <w:sz w:val="20"/>
          <w:szCs w:val="20"/>
        </w:rPr>
        <w:footnoteRef/>
      </w:r>
      <w:r w:rsidRPr="00C60FF7">
        <w:rPr>
          <w:sz w:val="20"/>
          <w:szCs w:val="20"/>
        </w:rPr>
        <w:t xml:space="preserve"> The $2 price </w:t>
      </w:r>
      <w:r>
        <w:rPr>
          <w:sz w:val="20"/>
          <w:szCs w:val="20"/>
        </w:rPr>
        <w:t xml:space="preserve">per share </w:t>
      </w:r>
      <w:r w:rsidRPr="00C60FF7">
        <w:rPr>
          <w:sz w:val="20"/>
          <w:szCs w:val="20"/>
        </w:rPr>
        <w:t>was ultimately increased to $10 in reaction to a shareholder class action suit.</w:t>
      </w:r>
    </w:p>
  </w:footnote>
  <w:footnote w:id="55">
    <w:p w14:paraId="136A5398" w14:textId="19CC5D65" w:rsidR="0042163E" w:rsidRDefault="0042163E">
      <w:pPr>
        <w:pStyle w:val="FootnoteText"/>
      </w:pPr>
      <w:r>
        <w:rPr>
          <w:rStyle w:val="FootnoteReference"/>
        </w:rPr>
        <w:footnoteRef/>
      </w:r>
      <w:r>
        <w:t xml:space="preserve"> </w:t>
      </w:r>
      <w:r w:rsidRPr="00130778">
        <w:rPr>
          <w:sz w:val="20"/>
          <w:szCs w:val="20"/>
        </w:rPr>
        <w:t>http://www.bbc.co.uk/blogs/thereporters/robertpeston/2008/03/how_hedge_funds_sunk_bear_stea.html</w:t>
      </w:r>
    </w:p>
  </w:footnote>
  <w:footnote w:id="56">
    <w:p w14:paraId="43F827F8" w14:textId="34C3F4F2" w:rsidR="0042163E" w:rsidRPr="00A915FD" w:rsidRDefault="0042163E" w:rsidP="00A915FD">
      <w:pPr>
        <w:pStyle w:val="FootnoteText"/>
        <w:jc w:val="both"/>
        <w:rPr>
          <w:sz w:val="20"/>
          <w:szCs w:val="20"/>
        </w:rPr>
      </w:pPr>
      <w:r w:rsidRPr="00A915FD">
        <w:rPr>
          <w:rStyle w:val="FootnoteReference"/>
          <w:sz w:val="20"/>
          <w:szCs w:val="20"/>
        </w:rPr>
        <w:footnoteRef/>
      </w:r>
      <w:r w:rsidRPr="00A915FD">
        <w:rPr>
          <w:sz w:val="20"/>
          <w:szCs w:val="20"/>
        </w:rPr>
        <w:t xml:space="preserve"> https://dealbook.nytimes.com/2008/06/30/what-really-killed-bear-stearns/</w:t>
      </w:r>
    </w:p>
  </w:footnote>
  <w:footnote w:id="57">
    <w:p w14:paraId="2BDD9A3B" w14:textId="77777777" w:rsidR="0042163E" w:rsidRPr="0044509D" w:rsidRDefault="0042163E" w:rsidP="00BD435A">
      <w:pPr>
        <w:pStyle w:val="FootnoteText"/>
        <w:jc w:val="both"/>
        <w:rPr>
          <w:sz w:val="20"/>
          <w:szCs w:val="20"/>
        </w:rPr>
      </w:pPr>
      <w:r w:rsidRPr="0044509D">
        <w:rPr>
          <w:rStyle w:val="FootnoteReference"/>
          <w:sz w:val="20"/>
          <w:szCs w:val="20"/>
        </w:rPr>
        <w:footnoteRef/>
      </w:r>
      <w:r w:rsidRPr="0044509D">
        <w:rPr>
          <w:sz w:val="20"/>
          <w:szCs w:val="20"/>
        </w:rPr>
        <w:t xml:space="preserve"> https://www.nytimes.com/2008/04/30/business/30shorts.html</w:t>
      </w:r>
    </w:p>
  </w:footnote>
  <w:footnote w:id="58">
    <w:p w14:paraId="7E5CE36B" w14:textId="77777777" w:rsidR="0042163E" w:rsidRPr="00B7290B" w:rsidRDefault="0042163E" w:rsidP="00681898">
      <w:pPr>
        <w:pStyle w:val="FootnoteText"/>
        <w:rPr>
          <w:sz w:val="20"/>
          <w:szCs w:val="20"/>
        </w:rPr>
      </w:pPr>
      <w:r w:rsidRPr="00B7290B">
        <w:rPr>
          <w:rStyle w:val="FootnoteReference"/>
          <w:sz w:val="20"/>
          <w:szCs w:val="20"/>
        </w:rPr>
        <w:footnoteRef/>
      </w:r>
      <w:r w:rsidRPr="00B7290B">
        <w:rPr>
          <w:sz w:val="20"/>
          <w:szCs w:val="20"/>
        </w:rPr>
        <w:t xml:space="preserve"> http://www.washingtonpost.com/wp-dyn/content/article/2008/03/20/AR2008032003515.html</w:t>
      </w:r>
    </w:p>
  </w:footnote>
  <w:footnote w:id="59">
    <w:p w14:paraId="15A6F9A2" w14:textId="447FF344" w:rsidR="0042163E" w:rsidRPr="00C72D5E" w:rsidRDefault="0042163E" w:rsidP="00C72D5E">
      <w:pPr>
        <w:pStyle w:val="FootnoteText"/>
        <w:jc w:val="both"/>
        <w:rPr>
          <w:sz w:val="20"/>
          <w:szCs w:val="20"/>
        </w:rPr>
      </w:pPr>
      <w:r w:rsidRPr="00C72D5E">
        <w:rPr>
          <w:rStyle w:val="FootnoteReference"/>
          <w:sz w:val="20"/>
          <w:szCs w:val="20"/>
        </w:rPr>
        <w:footnoteRef/>
      </w:r>
      <w:r w:rsidRPr="00C72D5E">
        <w:rPr>
          <w:sz w:val="20"/>
          <w:szCs w:val="20"/>
        </w:rPr>
        <w:t xml:space="preserve"> http://content.time.com/time/business/article/0,8599,1842499,00.html</w:t>
      </w:r>
    </w:p>
  </w:footnote>
  <w:footnote w:id="60">
    <w:p w14:paraId="7BA55280" w14:textId="77777777" w:rsidR="0042163E" w:rsidRPr="00D9042D" w:rsidRDefault="0042163E" w:rsidP="00766438">
      <w:pPr>
        <w:pStyle w:val="FootnoteText"/>
        <w:rPr>
          <w:sz w:val="20"/>
          <w:szCs w:val="20"/>
        </w:rPr>
      </w:pPr>
      <w:r w:rsidRPr="00FB3D97">
        <w:rPr>
          <w:rStyle w:val="FootnoteReference"/>
          <w:sz w:val="20"/>
          <w:szCs w:val="20"/>
        </w:rPr>
        <w:footnoteRef/>
      </w:r>
      <w:r w:rsidRPr="00FB3D97">
        <w:rPr>
          <w:sz w:val="20"/>
          <w:szCs w:val="20"/>
        </w:rPr>
        <w:t xml:space="preserve"> https://www.vanityfair.com/news/2008/08/bear_stearns200808-2</w:t>
      </w:r>
    </w:p>
  </w:footnote>
  <w:footnote w:id="61">
    <w:p w14:paraId="17BEDCB0" w14:textId="77777777" w:rsidR="0042163E" w:rsidRPr="00481D42" w:rsidRDefault="0042163E" w:rsidP="00B16FCC">
      <w:pPr>
        <w:pStyle w:val="FootnoteText"/>
        <w:contextualSpacing/>
        <w:jc w:val="both"/>
        <w:rPr>
          <w:sz w:val="20"/>
          <w:szCs w:val="20"/>
        </w:rPr>
      </w:pPr>
      <w:r w:rsidRPr="00481D42">
        <w:rPr>
          <w:rStyle w:val="FootnoteReference"/>
          <w:sz w:val="20"/>
          <w:szCs w:val="20"/>
        </w:rPr>
        <w:footnoteRef/>
      </w:r>
      <w:r w:rsidRPr="00481D42">
        <w:rPr>
          <w:sz w:val="20"/>
          <w:szCs w:val="20"/>
        </w:rPr>
        <w:t xml:space="preserve"> https://www.vanityfair.com/news/2008/08/bear_stearns200808-2</w:t>
      </w:r>
    </w:p>
  </w:footnote>
  <w:footnote w:id="62">
    <w:p w14:paraId="42AC5205" w14:textId="43353DCF" w:rsidR="0042163E" w:rsidRDefault="0042163E" w:rsidP="00B16FCC">
      <w:pPr>
        <w:pStyle w:val="NormalWeb"/>
        <w:shd w:val="clear" w:color="auto" w:fill="F9F9F9"/>
        <w:spacing w:before="0" w:beforeAutospacing="0" w:after="0" w:afterAutospacing="0"/>
        <w:contextualSpacing/>
        <w:jc w:val="both"/>
      </w:pPr>
      <w:r w:rsidRPr="00D9042D">
        <w:rPr>
          <w:rStyle w:val="FootnoteReference"/>
          <w:sz w:val="20"/>
          <w:szCs w:val="20"/>
        </w:rPr>
        <w:footnoteRef/>
      </w:r>
      <w:r w:rsidRPr="00D9042D">
        <w:rPr>
          <w:sz w:val="20"/>
          <w:szCs w:val="20"/>
        </w:rPr>
        <w:t xml:space="preserve"> </w:t>
      </w:r>
      <w:r w:rsidRPr="00D9042D">
        <w:rPr>
          <w:rFonts w:asciiTheme="minorHAnsi" w:hAnsiTheme="minorHAnsi"/>
          <w:sz w:val="20"/>
          <w:szCs w:val="20"/>
        </w:rPr>
        <w:t xml:space="preserve">This paragraph from the Vanity Fair suggests this is possibility is a common view on Wall Street. </w:t>
      </w:r>
      <w:r w:rsidRPr="00D9042D">
        <w:rPr>
          <w:rFonts w:asciiTheme="minorHAnsi" w:hAnsiTheme="minorHAnsi"/>
          <w:i/>
          <w:color w:val="231F20"/>
          <w:sz w:val="20"/>
          <w:szCs w:val="20"/>
        </w:rPr>
        <w:t>“Even with subpoena power, I’m not sure the S.E.C. will get to the bottom of this, because the standard of proof is just so difficult,” says a vice-chairman at another major investment firm. “But I hope they do. Because you can look at this as just another run on a bank or as a seminal point in the financial history of this country that could bring about a change, perhaps a drastic change, in the way we govern financial markets. If there is a solution to this kind of thing, it must be found in the roots of what happened at Bear Stearns. Because otherwise, I can guarantee you, it will happen again somewhere else.</w:t>
      </w:r>
      <w:r>
        <w:rPr>
          <w:rFonts w:asciiTheme="minorHAnsi" w:hAnsiTheme="minorHAnsi"/>
          <w:i/>
          <w:color w:val="231F20"/>
          <w:sz w:val="20"/>
          <w:szCs w:val="20"/>
        </w:rPr>
        <w:t>”</w:t>
      </w:r>
    </w:p>
  </w:footnote>
  <w:footnote w:id="63">
    <w:p w14:paraId="4FC65317" w14:textId="77777777" w:rsidR="0042163E" w:rsidRPr="00DA4C14" w:rsidRDefault="0042163E" w:rsidP="002C5FC0">
      <w:pPr>
        <w:pStyle w:val="FootnoteText"/>
        <w:rPr>
          <w:sz w:val="20"/>
          <w:szCs w:val="20"/>
        </w:rPr>
      </w:pPr>
      <w:r w:rsidRPr="00DA4C14">
        <w:rPr>
          <w:rStyle w:val="FootnoteReference"/>
          <w:sz w:val="20"/>
          <w:szCs w:val="20"/>
        </w:rPr>
        <w:footnoteRef/>
      </w:r>
      <w:r w:rsidRPr="00DA4C14">
        <w:rPr>
          <w:sz w:val="20"/>
          <w:szCs w:val="20"/>
        </w:rPr>
        <w:t xml:space="preserve"> https://www.rollingstone.com/politics/politics-news/wall-streets-naked-swindle-194908/</w:t>
      </w:r>
    </w:p>
  </w:footnote>
  <w:footnote w:id="64">
    <w:p w14:paraId="066E700D" w14:textId="77777777" w:rsidR="0042163E" w:rsidRDefault="0042163E" w:rsidP="002C5FC0">
      <w:pPr>
        <w:pStyle w:val="FootnoteText"/>
      </w:pPr>
      <w:r w:rsidRPr="00DA4C14">
        <w:rPr>
          <w:rStyle w:val="FootnoteReference"/>
          <w:sz w:val="20"/>
          <w:szCs w:val="20"/>
        </w:rPr>
        <w:footnoteRef/>
      </w:r>
      <w:r w:rsidRPr="00DA4C14">
        <w:rPr>
          <w:sz w:val="20"/>
          <w:szCs w:val="20"/>
        </w:rPr>
        <w:t xml:space="preserve"> https://en.wikipedia.org/wiki/Naked_short_selling</w:t>
      </w:r>
    </w:p>
  </w:footnote>
  <w:footnote w:id="65">
    <w:p w14:paraId="55CD5C44" w14:textId="77777777" w:rsidR="0042163E" w:rsidRPr="001C0F65" w:rsidRDefault="0042163E" w:rsidP="002C5FC0">
      <w:pPr>
        <w:pStyle w:val="FootnoteText"/>
        <w:rPr>
          <w:sz w:val="20"/>
          <w:szCs w:val="20"/>
        </w:rPr>
      </w:pPr>
      <w:r w:rsidRPr="001C0F65">
        <w:rPr>
          <w:rStyle w:val="FootnoteReference"/>
          <w:sz w:val="20"/>
          <w:szCs w:val="20"/>
        </w:rPr>
        <w:footnoteRef/>
      </w:r>
      <w:r w:rsidRPr="001C0F65">
        <w:rPr>
          <w:sz w:val="20"/>
          <w:szCs w:val="20"/>
        </w:rPr>
        <w:t xml:space="preserve"> Ibid.</w:t>
      </w:r>
    </w:p>
  </w:footnote>
  <w:footnote w:id="66">
    <w:p w14:paraId="68813B1E" w14:textId="77777777" w:rsidR="0042163E" w:rsidRPr="00780FB9" w:rsidRDefault="0042163E" w:rsidP="00255920">
      <w:pPr>
        <w:pStyle w:val="FootnoteText"/>
        <w:rPr>
          <w:sz w:val="20"/>
          <w:szCs w:val="20"/>
        </w:rPr>
      </w:pPr>
      <w:r w:rsidRPr="00780FB9">
        <w:rPr>
          <w:rStyle w:val="FootnoteReference"/>
          <w:sz w:val="20"/>
          <w:szCs w:val="20"/>
        </w:rPr>
        <w:footnoteRef/>
      </w:r>
      <w:r w:rsidRPr="00780FB9">
        <w:rPr>
          <w:sz w:val="20"/>
          <w:szCs w:val="20"/>
        </w:rPr>
        <w:t xml:space="preserve"> https://www.sec.gov/litigation/litreleases/2008/lr20537.htm</w:t>
      </w:r>
    </w:p>
  </w:footnote>
  <w:footnote w:id="67">
    <w:p w14:paraId="40C5EB8E" w14:textId="3D6DECE1" w:rsidR="0042163E" w:rsidRPr="00F84987" w:rsidRDefault="0042163E" w:rsidP="00255920">
      <w:pPr>
        <w:pStyle w:val="FootnoteText"/>
        <w:rPr>
          <w:sz w:val="20"/>
          <w:szCs w:val="20"/>
        </w:rPr>
      </w:pPr>
      <w:r w:rsidRPr="00F84987">
        <w:rPr>
          <w:rStyle w:val="FootnoteReference"/>
          <w:sz w:val="20"/>
          <w:szCs w:val="20"/>
        </w:rPr>
        <w:footnoteRef/>
      </w:r>
      <w:r w:rsidRPr="00F84987">
        <w:rPr>
          <w:sz w:val="20"/>
          <w:szCs w:val="20"/>
        </w:rPr>
        <w:t xml:space="preserve"> </w:t>
      </w:r>
      <w:hyperlink r:id="rId9" w:history="1">
        <w:r w:rsidRPr="008A6B90">
          <w:rPr>
            <w:rStyle w:val="Hyperlink"/>
            <w:sz w:val="20"/>
            <w:szCs w:val="20"/>
          </w:rPr>
          <w:t>https://www.sec.gov/news/press/2008/2008-64.htm</w:t>
        </w:r>
      </w:hyperlink>
      <w:r w:rsidRPr="00CB1460">
        <w:rPr>
          <w:rFonts w:eastAsia="Times New Roman"/>
        </w:rPr>
        <w:t xml:space="preserve"> </w:t>
      </w:r>
      <w:r w:rsidRPr="00FE3501">
        <w:rPr>
          <w:rFonts w:eastAsia="Times New Roman"/>
          <w:sz w:val="20"/>
          <w:szCs w:val="20"/>
        </w:rPr>
        <w:t>Somehow, the SEC discovered Berliner’s scheme and prosecuted him. The result was a fine and lifetime banishment from Wall Street.</w:t>
      </w:r>
    </w:p>
  </w:footnote>
  <w:footnote w:id="68">
    <w:p w14:paraId="7988FF27" w14:textId="5523455D" w:rsidR="00110FFD" w:rsidRPr="00110FFD" w:rsidRDefault="00110FFD" w:rsidP="00110FFD">
      <w:pPr>
        <w:jc w:val="both"/>
        <w:rPr>
          <w:rFonts w:asciiTheme="minorHAnsi" w:eastAsia="Times New Roman" w:hAnsiTheme="minorHAnsi"/>
          <w:sz w:val="20"/>
          <w:szCs w:val="20"/>
        </w:rPr>
      </w:pPr>
      <w:r w:rsidRPr="00110FFD">
        <w:rPr>
          <w:rStyle w:val="FootnoteReference"/>
          <w:sz w:val="20"/>
          <w:szCs w:val="20"/>
        </w:rPr>
        <w:footnoteRef/>
      </w:r>
      <w:r w:rsidRPr="00110FFD">
        <w:rPr>
          <w:sz w:val="20"/>
          <w:szCs w:val="20"/>
        </w:rPr>
        <w:t xml:space="preserve"> </w:t>
      </w:r>
      <w:r w:rsidRPr="00110FFD">
        <w:rPr>
          <w:rFonts w:asciiTheme="minorHAnsi" w:eastAsia="Times New Roman" w:hAnsiTheme="minorHAnsi"/>
          <w:sz w:val="20"/>
          <w:szCs w:val="20"/>
        </w:rPr>
        <w:t>Cohan</w:t>
      </w:r>
      <w:r w:rsidR="00F95FA5">
        <w:rPr>
          <w:rFonts w:asciiTheme="minorHAnsi" w:eastAsia="Times New Roman" w:hAnsiTheme="minorHAnsi"/>
          <w:sz w:val="20"/>
          <w:szCs w:val="20"/>
        </w:rPr>
        <w:t xml:space="preserve"> (2010)</w:t>
      </w:r>
    </w:p>
    <w:p w14:paraId="585AF026" w14:textId="475095A0" w:rsidR="00110FFD" w:rsidRDefault="00110FFD">
      <w:pPr>
        <w:pStyle w:val="FootnoteText"/>
      </w:pPr>
    </w:p>
  </w:footnote>
  <w:footnote w:id="69">
    <w:p w14:paraId="0A9AE334" w14:textId="7C76B1D3" w:rsidR="005840EA" w:rsidRPr="005840EA" w:rsidRDefault="005840EA" w:rsidP="005840EA">
      <w:pPr>
        <w:pStyle w:val="FootnoteText"/>
        <w:jc w:val="both"/>
        <w:rPr>
          <w:sz w:val="20"/>
          <w:szCs w:val="20"/>
        </w:rPr>
      </w:pPr>
      <w:r w:rsidRPr="005840EA">
        <w:rPr>
          <w:rStyle w:val="FootnoteReference"/>
          <w:sz w:val="20"/>
          <w:szCs w:val="20"/>
        </w:rPr>
        <w:footnoteRef/>
      </w:r>
      <w:r w:rsidRPr="005840EA">
        <w:rPr>
          <w:sz w:val="20"/>
          <w:szCs w:val="20"/>
        </w:rPr>
        <w:t xml:space="preserve"> https://www.sec.gov/news/testimony/2010/ts042010mls.htm</w:t>
      </w:r>
    </w:p>
  </w:footnote>
  <w:footnote w:id="70">
    <w:p w14:paraId="7380C94E" w14:textId="77777777" w:rsidR="0042163E" w:rsidRPr="00157CDF" w:rsidRDefault="0042163E" w:rsidP="00FB14C0">
      <w:pPr>
        <w:pStyle w:val="FootnoteText"/>
        <w:contextualSpacing/>
        <w:jc w:val="both"/>
        <w:rPr>
          <w:sz w:val="20"/>
          <w:szCs w:val="20"/>
        </w:rPr>
      </w:pPr>
      <w:r w:rsidRPr="00157CDF">
        <w:rPr>
          <w:rStyle w:val="FootnoteReference"/>
          <w:sz w:val="20"/>
          <w:szCs w:val="20"/>
        </w:rPr>
        <w:footnoteRef/>
      </w:r>
      <w:r w:rsidRPr="00157CDF">
        <w:rPr>
          <w:sz w:val="20"/>
          <w:szCs w:val="20"/>
        </w:rPr>
        <w:t xml:space="preserve"> https://www.economist.com/graphic-detail/2011/09/16/gauging-the-gloom</w:t>
      </w:r>
    </w:p>
  </w:footnote>
  <w:footnote w:id="71">
    <w:p w14:paraId="0131B571" w14:textId="06079F4E" w:rsidR="0042163E" w:rsidRPr="00C64AD3" w:rsidRDefault="0042163E">
      <w:pPr>
        <w:pStyle w:val="FootnoteText"/>
        <w:rPr>
          <w:sz w:val="20"/>
          <w:szCs w:val="20"/>
        </w:rPr>
      </w:pPr>
      <w:r w:rsidRPr="00C64AD3">
        <w:rPr>
          <w:rStyle w:val="FootnoteReference"/>
          <w:sz w:val="20"/>
          <w:szCs w:val="20"/>
        </w:rPr>
        <w:footnoteRef/>
      </w:r>
      <w:r w:rsidRPr="00C64AD3">
        <w:rPr>
          <w:sz w:val="20"/>
          <w:szCs w:val="20"/>
        </w:rPr>
        <w:t xml:space="preserve"> https://www.economist.com/finance-and-economics/2002/11/21/words-that-can-harm-you</w:t>
      </w:r>
    </w:p>
  </w:footnote>
  <w:footnote w:id="72">
    <w:p w14:paraId="5F89EF48" w14:textId="6A2AC017" w:rsidR="0042163E" w:rsidRPr="00165BD7" w:rsidRDefault="0042163E" w:rsidP="00165BD7">
      <w:pPr>
        <w:pStyle w:val="FootnoteText"/>
        <w:jc w:val="both"/>
        <w:rPr>
          <w:sz w:val="20"/>
          <w:szCs w:val="20"/>
        </w:rPr>
      </w:pPr>
      <w:r w:rsidRPr="00165BD7">
        <w:rPr>
          <w:rStyle w:val="FootnoteReference"/>
          <w:sz w:val="20"/>
          <w:szCs w:val="20"/>
        </w:rPr>
        <w:footnoteRef/>
      </w:r>
      <w:r w:rsidRPr="00165BD7">
        <w:rPr>
          <w:sz w:val="20"/>
          <w:szCs w:val="20"/>
        </w:rPr>
        <w:t xml:space="preserve"> https://www.economist.com/finance-and-economics/2008/01/10/warning-lights</w:t>
      </w:r>
    </w:p>
  </w:footnote>
  <w:footnote w:id="73">
    <w:p w14:paraId="19009E48" w14:textId="77777777" w:rsidR="0042163E" w:rsidRPr="006B49CA" w:rsidRDefault="0042163E" w:rsidP="006D3793">
      <w:pPr>
        <w:pStyle w:val="FootnoteText"/>
        <w:rPr>
          <w:sz w:val="20"/>
          <w:szCs w:val="20"/>
        </w:rPr>
      </w:pPr>
      <w:r w:rsidRPr="006B49CA">
        <w:rPr>
          <w:rStyle w:val="FootnoteReference"/>
          <w:sz w:val="20"/>
          <w:szCs w:val="20"/>
        </w:rPr>
        <w:footnoteRef/>
      </w:r>
      <w:r w:rsidRPr="006B49CA">
        <w:rPr>
          <w:sz w:val="20"/>
          <w:szCs w:val="20"/>
        </w:rPr>
        <w:t xml:space="preserve"> https://fred.stlouisfed.org/series/VIXCLS</w:t>
      </w:r>
    </w:p>
  </w:footnote>
  <w:footnote w:id="74">
    <w:p w14:paraId="2A7D598B" w14:textId="69655C1C" w:rsidR="0042163E" w:rsidRPr="00A45DDB" w:rsidRDefault="0042163E" w:rsidP="00A07B0B">
      <w:pPr>
        <w:pStyle w:val="FootnoteText"/>
        <w:contextualSpacing/>
        <w:jc w:val="both"/>
        <w:rPr>
          <w:sz w:val="20"/>
          <w:szCs w:val="20"/>
        </w:rPr>
      </w:pPr>
      <w:r w:rsidRPr="00A45DDB">
        <w:rPr>
          <w:rStyle w:val="FootnoteReference"/>
          <w:sz w:val="20"/>
          <w:szCs w:val="20"/>
        </w:rPr>
        <w:footnoteRef/>
      </w:r>
      <w:hyperlink r:id="rId10" w:history="1">
        <w:r w:rsidR="00A9732B" w:rsidRPr="008A6B90">
          <w:rPr>
            <w:rStyle w:val="Hyperlink"/>
            <w:sz w:val="20"/>
            <w:szCs w:val="20"/>
          </w:rPr>
          <w:t>https://trends.google.com/trends/explore?date=all&amp;geo=US&amp;q=great%20depression,Recession</w:t>
        </w:r>
      </w:hyperlink>
      <w:r w:rsidR="00A9732B">
        <w:rPr>
          <w:sz w:val="20"/>
          <w:szCs w:val="20"/>
        </w:rPr>
        <w:t xml:space="preserve">; </w:t>
      </w:r>
      <w:r w:rsidR="00A9732B" w:rsidRPr="00A9732B">
        <w:rPr>
          <w:sz w:val="20"/>
          <w:szCs w:val="20"/>
        </w:rPr>
        <w:t>https://fred.stlouisfed.org/series/WILL5000INDFC</w:t>
      </w:r>
    </w:p>
  </w:footnote>
  <w:footnote w:id="75">
    <w:p w14:paraId="54E00B55" w14:textId="48BFB931" w:rsidR="00BB143D" w:rsidRPr="00BB143D" w:rsidRDefault="00BB143D" w:rsidP="00BB143D">
      <w:pPr>
        <w:pStyle w:val="FootnoteText"/>
        <w:jc w:val="both"/>
        <w:rPr>
          <w:sz w:val="20"/>
          <w:szCs w:val="20"/>
        </w:rPr>
      </w:pPr>
      <w:r w:rsidRPr="00BB143D">
        <w:rPr>
          <w:rStyle w:val="FootnoteReference"/>
          <w:sz w:val="20"/>
          <w:szCs w:val="20"/>
        </w:rPr>
        <w:footnoteRef/>
      </w:r>
      <w:r w:rsidRPr="00BB143D">
        <w:rPr>
          <w:sz w:val="20"/>
          <w:szCs w:val="20"/>
        </w:rPr>
        <w:t xml:space="preserve"> Even the concern with originate to distribute may have been dramatically overhyped as suggested in https://www.researchgate.net/publication/228168491_Securitization_and_Loan_Performance_A_Contrast_of_Ex_Ante_and_Ex_Post_Relations_in_the_Mortgage_Market.</w:t>
      </w:r>
    </w:p>
  </w:footnote>
  <w:footnote w:id="76">
    <w:p w14:paraId="1D2EFBF0" w14:textId="77777777" w:rsidR="0042163E" w:rsidRPr="00FB14AC" w:rsidRDefault="0042163E" w:rsidP="008E4076">
      <w:pPr>
        <w:pStyle w:val="FootnoteText"/>
        <w:jc w:val="both"/>
        <w:rPr>
          <w:sz w:val="20"/>
          <w:szCs w:val="20"/>
        </w:rPr>
      </w:pPr>
      <w:r w:rsidRPr="00FB14AC">
        <w:rPr>
          <w:rStyle w:val="FootnoteReference"/>
          <w:sz w:val="20"/>
          <w:szCs w:val="20"/>
        </w:rPr>
        <w:footnoteRef/>
      </w:r>
      <w:r w:rsidRPr="00FB14AC">
        <w:rPr>
          <w:sz w:val="20"/>
          <w:szCs w:val="20"/>
        </w:rPr>
        <w:t xml:space="preserve"> This </w:t>
      </w:r>
      <w:r>
        <w:rPr>
          <w:sz w:val="20"/>
          <w:szCs w:val="20"/>
        </w:rPr>
        <w:t>paragraph is taken</w:t>
      </w:r>
      <w:r w:rsidRPr="00FB14AC">
        <w:rPr>
          <w:sz w:val="20"/>
          <w:szCs w:val="20"/>
        </w:rPr>
        <w:t xml:space="preserve"> verbatim from Tim Jackson and Laurence Kotlikoff, </w:t>
      </w:r>
      <w:r w:rsidRPr="00FB14AC">
        <w:rPr>
          <w:i/>
          <w:sz w:val="20"/>
          <w:szCs w:val="20"/>
        </w:rPr>
        <w:t>Banks as Potentially Crooked Secret Keepers</w:t>
      </w:r>
      <w:r w:rsidRPr="00FB14AC">
        <w:rPr>
          <w:sz w:val="20"/>
          <w:szCs w:val="20"/>
        </w:rPr>
        <w:t>, NBER working paper, no.</w:t>
      </w:r>
      <w:r>
        <w:rPr>
          <w:sz w:val="20"/>
          <w:szCs w:val="20"/>
        </w:rPr>
        <w:t xml:space="preserve"> 24751,</w:t>
      </w:r>
      <w:r w:rsidRPr="00FB14AC">
        <w:rPr>
          <w:sz w:val="20"/>
          <w:szCs w:val="20"/>
        </w:rPr>
        <w:t xml:space="preserve"> 2018. </w:t>
      </w:r>
    </w:p>
  </w:footnote>
  <w:footnote w:id="77">
    <w:p w14:paraId="631C6010" w14:textId="3D0BB484" w:rsidR="0042163E" w:rsidRPr="00782821" w:rsidRDefault="0042163E">
      <w:pPr>
        <w:pStyle w:val="FootnoteText"/>
        <w:rPr>
          <w:sz w:val="20"/>
          <w:szCs w:val="20"/>
        </w:rPr>
      </w:pPr>
      <w:r w:rsidRPr="00782821">
        <w:rPr>
          <w:rStyle w:val="FootnoteReference"/>
          <w:sz w:val="20"/>
          <w:szCs w:val="20"/>
        </w:rPr>
        <w:footnoteRef/>
      </w:r>
      <w:r w:rsidRPr="00782821">
        <w:rPr>
          <w:sz w:val="20"/>
          <w:szCs w:val="20"/>
        </w:rPr>
        <w:t xml:space="preserve"> https://en.wikipedia.org/wiki/2012%E2%80%9313_Cypriot_financial_crisis</w:t>
      </w:r>
    </w:p>
  </w:footnote>
  <w:footnote w:id="78">
    <w:p w14:paraId="003B5CC2" w14:textId="3AC58473" w:rsidR="0042163E" w:rsidRPr="00A74400" w:rsidRDefault="0042163E" w:rsidP="00A74400">
      <w:pPr>
        <w:pStyle w:val="FootnoteText"/>
        <w:jc w:val="both"/>
        <w:rPr>
          <w:sz w:val="20"/>
          <w:szCs w:val="20"/>
        </w:rPr>
      </w:pPr>
      <w:r w:rsidRPr="00A74400">
        <w:rPr>
          <w:rStyle w:val="FootnoteReference"/>
          <w:sz w:val="20"/>
          <w:szCs w:val="20"/>
        </w:rPr>
        <w:footnoteRef/>
      </w:r>
      <w:r w:rsidRPr="00A74400">
        <w:rPr>
          <w:sz w:val="20"/>
          <w:szCs w:val="20"/>
        </w:rPr>
        <w:t xml:space="preserve"> The Great Depression lasted a decade until World War coordinated the move to a full employment equilibrium.</w:t>
      </w:r>
    </w:p>
  </w:footnote>
  <w:footnote w:id="79">
    <w:p w14:paraId="576F5A23" w14:textId="5EACDC4E" w:rsidR="0042163E" w:rsidRPr="00A74400" w:rsidRDefault="0042163E" w:rsidP="00A74400">
      <w:pPr>
        <w:pStyle w:val="FootnoteText"/>
        <w:jc w:val="both"/>
        <w:rPr>
          <w:sz w:val="20"/>
          <w:szCs w:val="20"/>
        </w:rPr>
      </w:pPr>
      <w:r w:rsidRPr="00A74400">
        <w:rPr>
          <w:rStyle w:val="FootnoteReference"/>
          <w:sz w:val="20"/>
          <w:szCs w:val="20"/>
        </w:rPr>
        <w:footnoteRef/>
      </w:r>
      <w:r w:rsidRPr="00A74400">
        <w:rPr>
          <w:sz w:val="20"/>
          <w:szCs w:val="20"/>
        </w:rPr>
        <w:t xml:space="preserve"> Gas stations, by the way, are intermediaries between drivers and refineries. Were gas stations to collectively gamble with their businesses, fail in concert, and leave the public unable to use the roads, Congress would instantly mandate they operate their businesses on a fully equity-financed basis and that gas station owners gamble, if they so chose, strictly with their own money. </w:t>
      </w:r>
    </w:p>
  </w:footnote>
  <w:footnote w:id="80">
    <w:p w14:paraId="75549AB7" w14:textId="10D5B55E" w:rsidR="00A74400" w:rsidRDefault="00A74400" w:rsidP="00A74400">
      <w:pPr>
        <w:pStyle w:val="FootnoteText"/>
        <w:jc w:val="both"/>
      </w:pPr>
      <w:r w:rsidRPr="00A74400">
        <w:rPr>
          <w:rStyle w:val="FootnoteReference"/>
          <w:sz w:val="20"/>
          <w:szCs w:val="20"/>
        </w:rPr>
        <w:footnoteRef/>
      </w:r>
      <w:r w:rsidRPr="00A74400">
        <w:rPr>
          <w:sz w:val="20"/>
          <w:szCs w:val="20"/>
        </w:rPr>
        <w:t xml:space="preserve"> https://www.federalreserve.gov/regreform/reform-bearstearns.htm</w:t>
      </w:r>
    </w:p>
  </w:footnote>
  <w:footnote w:id="81">
    <w:p w14:paraId="5A39569C" w14:textId="5007E2AD" w:rsidR="0042163E" w:rsidRPr="00EC1F80" w:rsidRDefault="0042163E">
      <w:pPr>
        <w:pStyle w:val="FootnoteText"/>
        <w:rPr>
          <w:sz w:val="20"/>
          <w:szCs w:val="20"/>
        </w:rPr>
      </w:pPr>
      <w:r w:rsidRPr="00EC1F80">
        <w:rPr>
          <w:rStyle w:val="FootnoteReference"/>
          <w:sz w:val="20"/>
          <w:szCs w:val="20"/>
        </w:rPr>
        <w:footnoteRef/>
      </w:r>
      <w:r w:rsidRPr="00EC1F80">
        <w:rPr>
          <w:sz w:val="20"/>
          <w:szCs w:val="20"/>
        </w:rPr>
        <w:t xml:space="preserve"> Kotlikoff (2010)</w:t>
      </w:r>
    </w:p>
  </w:footnote>
  <w:footnote w:id="82">
    <w:p w14:paraId="6056A3A0" w14:textId="2DD4EC6C" w:rsidR="0042163E" w:rsidRPr="009E1E9A" w:rsidRDefault="0042163E" w:rsidP="009E1E9A">
      <w:pPr>
        <w:pStyle w:val="FootnoteText"/>
        <w:jc w:val="both"/>
        <w:rPr>
          <w:sz w:val="20"/>
          <w:szCs w:val="20"/>
        </w:rPr>
      </w:pPr>
      <w:r w:rsidRPr="006D1963">
        <w:rPr>
          <w:rStyle w:val="FootnoteReference"/>
          <w:sz w:val="20"/>
          <w:szCs w:val="20"/>
        </w:rPr>
        <w:footnoteRef/>
      </w:r>
      <w:r w:rsidRPr="006D1963">
        <w:rPr>
          <w:sz w:val="20"/>
          <w:szCs w:val="20"/>
        </w:rPr>
        <w:t xml:space="preserve"> Ibid</w:t>
      </w:r>
    </w:p>
  </w:footnote>
  <w:footnote w:id="83">
    <w:p w14:paraId="11E604FC" w14:textId="4EDFCA44" w:rsidR="009E1E9A" w:rsidRDefault="009E1E9A" w:rsidP="009E1E9A">
      <w:pPr>
        <w:pStyle w:val="FootnoteText"/>
        <w:jc w:val="both"/>
      </w:pPr>
      <w:r w:rsidRPr="009E1E9A">
        <w:rPr>
          <w:rStyle w:val="FootnoteReference"/>
          <w:sz w:val="20"/>
          <w:szCs w:val="20"/>
        </w:rPr>
        <w:footnoteRef/>
      </w:r>
      <w:r w:rsidRPr="009E1E9A">
        <w:rPr>
          <w:sz w:val="20"/>
          <w:szCs w:val="20"/>
        </w:rPr>
        <w:t xml:space="preserve"> https://fred.stlouisfed.org/series/M1SL</w:t>
      </w:r>
    </w:p>
  </w:footnote>
  <w:footnote w:id="84">
    <w:p w14:paraId="48931541" w14:textId="16758C2F" w:rsidR="0042163E" w:rsidRPr="00BF1527" w:rsidRDefault="0042163E" w:rsidP="00DD3FE9">
      <w:pPr>
        <w:pStyle w:val="FootnoteText"/>
        <w:rPr>
          <w:sz w:val="20"/>
          <w:szCs w:val="20"/>
        </w:rPr>
      </w:pPr>
      <w:r w:rsidRPr="00BF1527">
        <w:rPr>
          <w:rStyle w:val="FootnoteReference"/>
          <w:sz w:val="20"/>
          <w:szCs w:val="20"/>
        </w:rPr>
        <w:footnoteRef/>
      </w:r>
      <w:r w:rsidR="00F95FA5">
        <w:rPr>
          <w:sz w:val="20"/>
          <w:szCs w:val="20"/>
        </w:rPr>
        <w:t xml:space="preserve"> See Cohan (2010</w:t>
      </w:r>
      <w:r w:rsidRPr="00BF1527">
        <w:rPr>
          <w:sz w:val="20"/>
          <w:szCs w:val="20"/>
        </w:rPr>
        <w:t xml:space="preserve"> ) </w:t>
      </w:r>
    </w:p>
  </w:footnote>
  <w:footnote w:id="85">
    <w:p w14:paraId="52FFCEA5" w14:textId="59C48886" w:rsidR="0042163E" w:rsidRPr="006946B0" w:rsidRDefault="0042163E" w:rsidP="006946B0">
      <w:pPr>
        <w:pStyle w:val="FootnoteText"/>
        <w:jc w:val="both"/>
        <w:rPr>
          <w:sz w:val="20"/>
          <w:szCs w:val="20"/>
        </w:rPr>
      </w:pPr>
      <w:r w:rsidRPr="006946B0">
        <w:rPr>
          <w:rStyle w:val="FootnoteReference"/>
          <w:sz w:val="20"/>
          <w:szCs w:val="20"/>
        </w:rPr>
        <w:footnoteRef/>
      </w:r>
      <w:r w:rsidRPr="006946B0">
        <w:rPr>
          <w:sz w:val="20"/>
          <w:szCs w:val="20"/>
        </w:rPr>
        <w:t xml:space="preserve"> As discussed in Ko</w:t>
      </w:r>
      <w:r w:rsidR="0011221A">
        <w:rPr>
          <w:sz w:val="20"/>
          <w:szCs w:val="20"/>
        </w:rPr>
        <w:t>tlikoff, Persson and Swensson (1986</w:t>
      </w:r>
      <w:r w:rsidRPr="006946B0">
        <w:rPr>
          <w:sz w:val="20"/>
          <w:szCs w:val="20"/>
        </w:rPr>
        <w:t>), each generation of young can consider printing its own money. That too, without some other features, can destroy Samuelson’s good equilibrium.</w:t>
      </w:r>
    </w:p>
  </w:footnote>
  <w:footnote w:id="86">
    <w:p w14:paraId="4DA33920" w14:textId="169D5D46" w:rsidR="0042163E" w:rsidRPr="00234D80" w:rsidRDefault="0042163E" w:rsidP="00DD3FE9">
      <w:pPr>
        <w:pStyle w:val="FootnoteText"/>
        <w:rPr>
          <w:sz w:val="20"/>
          <w:szCs w:val="20"/>
        </w:rPr>
      </w:pPr>
      <w:r w:rsidRPr="00234D80">
        <w:rPr>
          <w:rStyle w:val="FootnoteReference"/>
          <w:sz w:val="20"/>
          <w:szCs w:val="20"/>
        </w:rPr>
        <w:footnoteRef/>
      </w:r>
      <w:r w:rsidR="00C92BD6">
        <w:rPr>
          <w:sz w:val="20"/>
          <w:szCs w:val="20"/>
        </w:rPr>
        <w:t xml:space="preserve"> See Kotlikoff (2006)</w:t>
      </w:r>
    </w:p>
  </w:footnote>
  <w:footnote w:id="87">
    <w:p w14:paraId="09D36AA7" w14:textId="77777777" w:rsidR="0042163E" w:rsidRDefault="0042163E" w:rsidP="00DD3FE9">
      <w:pPr>
        <w:pStyle w:val="FootnoteText"/>
      </w:pPr>
      <w:r>
        <w:rPr>
          <w:rStyle w:val="FootnoteReference"/>
        </w:rPr>
        <w:footnoteRef/>
      </w:r>
      <w:r>
        <w:t xml:space="preserve"> IndyMac and Merrill Lynch sold themselves. Fannie and Freddie were nationalized.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51502"/>
    <w:multiLevelType w:val="hybridMultilevel"/>
    <w:tmpl w:val="C6B22B7A"/>
    <w:lvl w:ilvl="0" w:tplc="9E0466A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02B9D"/>
    <w:multiLevelType w:val="hybridMultilevel"/>
    <w:tmpl w:val="5178D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13E7C"/>
    <w:multiLevelType w:val="hybridMultilevel"/>
    <w:tmpl w:val="0D96763C"/>
    <w:lvl w:ilvl="0" w:tplc="FA542F7C">
      <w:numFmt w:val="bullet"/>
      <w:lvlText w:val=""/>
      <w:lvlJc w:val="left"/>
      <w:pPr>
        <w:ind w:left="1560" w:hanging="360"/>
      </w:pPr>
      <w:rPr>
        <w:rFonts w:ascii="Wingdings" w:eastAsiaTheme="minorHAnsi" w:hAnsi="Wingdings" w:cstheme="minorBidi"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nsid w:val="17C80C24"/>
    <w:multiLevelType w:val="singleLevel"/>
    <w:tmpl w:val="7A8857DC"/>
    <w:lvl w:ilvl="0">
      <w:start w:val="1"/>
      <w:numFmt w:val="decimal"/>
      <w:lvlText w:val="%1."/>
      <w:legacy w:legacy="1" w:legacySpace="0" w:legacyIndent="360"/>
      <w:lvlJc w:val="left"/>
      <w:pPr>
        <w:ind w:left="360" w:hanging="360"/>
      </w:pPr>
    </w:lvl>
  </w:abstractNum>
  <w:abstractNum w:abstractNumId="4">
    <w:nsid w:val="252C2F36"/>
    <w:multiLevelType w:val="hybridMultilevel"/>
    <w:tmpl w:val="6F02305E"/>
    <w:lvl w:ilvl="0" w:tplc="2814DB1C">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8B5049"/>
    <w:multiLevelType w:val="multilevel"/>
    <w:tmpl w:val="6E089A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E23D52"/>
    <w:multiLevelType w:val="hybridMultilevel"/>
    <w:tmpl w:val="74209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9515E8"/>
    <w:multiLevelType w:val="hybridMultilevel"/>
    <w:tmpl w:val="1C6A9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BF5DE7"/>
    <w:multiLevelType w:val="hybridMultilevel"/>
    <w:tmpl w:val="152202D2"/>
    <w:lvl w:ilvl="0" w:tplc="3A32F36C">
      <w:start w:val="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8"/>
  </w:num>
  <w:num w:numId="5">
    <w:abstractNumId w:val="5"/>
  </w:num>
  <w:num w:numId="6">
    <w:abstractNumId w:val="3"/>
    <w:lvlOverride w:ilvl="0">
      <w:lvl w:ilvl="0">
        <w:start w:val="1"/>
        <w:numFmt w:val="decimal"/>
        <w:lvlText w:val="%1."/>
        <w:legacy w:legacy="1" w:legacySpace="0" w:legacyIndent="360"/>
        <w:lvlJc w:val="left"/>
        <w:pPr>
          <w:ind w:left="360" w:hanging="360"/>
        </w:pPr>
      </w:lvl>
    </w:lvlOverride>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65"/>
    <w:rsid w:val="0000099E"/>
    <w:rsid w:val="00001B5F"/>
    <w:rsid w:val="00004587"/>
    <w:rsid w:val="0000546E"/>
    <w:rsid w:val="0000658D"/>
    <w:rsid w:val="00007132"/>
    <w:rsid w:val="000119BA"/>
    <w:rsid w:val="000149FB"/>
    <w:rsid w:val="00014C5C"/>
    <w:rsid w:val="0001508C"/>
    <w:rsid w:val="00016267"/>
    <w:rsid w:val="000167AB"/>
    <w:rsid w:val="00017101"/>
    <w:rsid w:val="00017F65"/>
    <w:rsid w:val="00020FC1"/>
    <w:rsid w:val="00020FC2"/>
    <w:rsid w:val="00021C59"/>
    <w:rsid w:val="00022465"/>
    <w:rsid w:val="00023C6D"/>
    <w:rsid w:val="00023CB7"/>
    <w:rsid w:val="000257C0"/>
    <w:rsid w:val="00026730"/>
    <w:rsid w:val="00027772"/>
    <w:rsid w:val="00031780"/>
    <w:rsid w:val="000352D8"/>
    <w:rsid w:val="0003590E"/>
    <w:rsid w:val="00036864"/>
    <w:rsid w:val="00040025"/>
    <w:rsid w:val="0004289E"/>
    <w:rsid w:val="0004397C"/>
    <w:rsid w:val="00045929"/>
    <w:rsid w:val="00046435"/>
    <w:rsid w:val="000464B9"/>
    <w:rsid w:val="00046E47"/>
    <w:rsid w:val="000477A7"/>
    <w:rsid w:val="00050678"/>
    <w:rsid w:val="00051A09"/>
    <w:rsid w:val="00052CED"/>
    <w:rsid w:val="00052DEC"/>
    <w:rsid w:val="00053DE7"/>
    <w:rsid w:val="0005486B"/>
    <w:rsid w:val="000548EE"/>
    <w:rsid w:val="000558B2"/>
    <w:rsid w:val="00056E36"/>
    <w:rsid w:val="000604CE"/>
    <w:rsid w:val="000615A9"/>
    <w:rsid w:val="00061729"/>
    <w:rsid w:val="00062734"/>
    <w:rsid w:val="00063508"/>
    <w:rsid w:val="00063D4F"/>
    <w:rsid w:val="0006783A"/>
    <w:rsid w:val="00071AA4"/>
    <w:rsid w:val="00072669"/>
    <w:rsid w:val="000726DD"/>
    <w:rsid w:val="000732EC"/>
    <w:rsid w:val="000745F3"/>
    <w:rsid w:val="0007598A"/>
    <w:rsid w:val="00077148"/>
    <w:rsid w:val="000800EF"/>
    <w:rsid w:val="00080B06"/>
    <w:rsid w:val="000835CF"/>
    <w:rsid w:val="00083625"/>
    <w:rsid w:val="00085C90"/>
    <w:rsid w:val="00087071"/>
    <w:rsid w:val="000877F3"/>
    <w:rsid w:val="00087A53"/>
    <w:rsid w:val="00087B1A"/>
    <w:rsid w:val="0009093F"/>
    <w:rsid w:val="00090D98"/>
    <w:rsid w:val="000932CF"/>
    <w:rsid w:val="00095E47"/>
    <w:rsid w:val="000963A9"/>
    <w:rsid w:val="00097F77"/>
    <w:rsid w:val="000A02BF"/>
    <w:rsid w:val="000A0E87"/>
    <w:rsid w:val="000A2759"/>
    <w:rsid w:val="000A3D9C"/>
    <w:rsid w:val="000A4BAE"/>
    <w:rsid w:val="000B0FFD"/>
    <w:rsid w:val="000B439E"/>
    <w:rsid w:val="000B572A"/>
    <w:rsid w:val="000B5F56"/>
    <w:rsid w:val="000B6DBF"/>
    <w:rsid w:val="000B7715"/>
    <w:rsid w:val="000B7A7E"/>
    <w:rsid w:val="000C04D4"/>
    <w:rsid w:val="000C070A"/>
    <w:rsid w:val="000C1BC1"/>
    <w:rsid w:val="000C1CF5"/>
    <w:rsid w:val="000C2D98"/>
    <w:rsid w:val="000C5484"/>
    <w:rsid w:val="000C6EA8"/>
    <w:rsid w:val="000D0744"/>
    <w:rsid w:val="000D291F"/>
    <w:rsid w:val="000D2B5C"/>
    <w:rsid w:val="000D334A"/>
    <w:rsid w:val="000D48DB"/>
    <w:rsid w:val="000D4EDC"/>
    <w:rsid w:val="000D5551"/>
    <w:rsid w:val="000D6405"/>
    <w:rsid w:val="000E1E22"/>
    <w:rsid w:val="000E1F8E"/>
    <w:rsid w:val="000E26D1"/>
    <w:rsid w:val="000E2F5B"/>
    <w:rsid w:val="000E3847"/>
    <w:rsid w:val="000E3D42"/>
    <w:rsid w:val="000E5180"/>
    <w:rsid w:val="000E55FF"/>
    <w:rsid w:val="000E63AD"/>
    <w:rsid w:val="000E650A"/>
    <w:rsid w:val="000E683A"/>
    <w:rsid w:val="000E7878"/>
    <w:rsid w:val="000E7FB2"/>
    <w:rsid w:val="000F0CCE"/>
    <w:rsid w:val="000F1735"/>
    <w:rsid w:val="000F4D1A"/>
    <w:rsid w:val="000F5461"/>
    <w:rsid w:val="000F60BB"/>
    <w:rsid w:val="000F61B2"/>
    <w:rsid w:val="000F64E8"/>
    <w:rsid w:val="0010304F"/>
    <w:rsid w:val="0010416F"/>
    <w:rsid w:val="001044AE"/>
    <w:rsid w:val="00104961"/>
    <w:rsid w:val="001050B1"/>
    <w:rsid w:val="00105680"/>
    <w:rsid w:val="00107331"/>
    <w:rsid w:val="001076B1"/>
    <w:rsid w:val="001106CC"/>
    <w:rsid w:val="00110F71"/>
    <w:rsid w:val="00110FFD"/>
    <w:rsid w:val="00111757"/>
    <w:rsid w:val="0011221A"/>
    <w:rsid w:val="00113A4B"/>
    <w:rsid w:val="00115F89"/>
    <w:rsid w:val="00116A65"/>
    <w:rsid w:val="00116D31"/>
    <w:rsid w:val="00117178"/>
    <w:rsid w:val="00117EED"/>
    <w:rsid w:val="001226B9"/>
    <w:rsid w:val="00122771"/>
    <w:rsid w:val="0012377D"/>
    <w:rsid w:val="00124524"/>
    <w:rsid w:val="00127725"/>
    <w:rsid w:val="001279A1"/>
    <w:rsid w:val="00127F3D"/>
    <w:rsid w:val="0013058A"/>
    <w:rsid w:val="00130778"/>
    <w:rsid w:val="00130AD3"/>
    <w:rsid w:val="00132792"/>
    <w:rsid w:val="00132820"/>
    <w:rsid w:val="0013332A"/>
    <w:rsid w:val="001357B2"/>
    <w:rsid w:val="00135AE3"/>
    <w:rsid w:val="001367C3"/>
    <w:rsid w:val="00136A78"/>
    <w:rsid w:val="001370C6"/>
    <w:rsid w:val="00141FD1"/>
    <w:rsid w:val="00142EC8"/>
    <w:rsid w:val="00143990"/>
    <w:rsid w:val="00146EC8"/>
    <w:rsid w:val="00146EDF"/>
    <w:rsid w:val="0014704F"/>
    <w:rsid w:val="00150A14"/>
    <w:rsid w:val="00152C2E"/>
    <w:rsid w:val="00153BE9"/>
    <w:rsid w:val="00153FD2"/>
    <w:rsid w:val="0015438C"/>
    <w:rsid w:val="001546A8"/>
    <w:rsid w:val="0015606F"/>
    <w:rsid w:val="00157CDF"/>
    <w:rsid w:val="00160694"/>
    <w:rsid w:val="00160DB3"/>
    <w:rsid w:val="001617C5"/>
    <w:rsid w:val="00161A2E"/>
    <w:rsid w:val="00161E03"/>
    <w:rsid w:val="0016476E"/>
    <w:rsid w:val="00165203"/>
    <w:rsid w:val="00165BD7"/>
    <w:rsid w:val="00165F13"/>
    <w:rsid w:val="00166492"/>
    <w:rsid w:val="001666F2"/>
    <w:rsid w:val="00166F10"/>
    <w:rsid w:val="00167160"/>
    <w:rsid w:val="001674DB"/>
    <w:rsid w:val="00170393"/>
    <w:rsid w:val="00171044"/>
    <w:rsid w:val="0017108C"/>
    <w:rsid w:val="001712FE"/>
    <w:rsid w:val="00171EF3"/>
    <w:rsid w:val="00171F92"/>
    <w:rsid w:val="00172FD7"/>
    <w:rsid w:val="00173C79"/>
    <w:rsid w:val="00173E9E"/>
    <w:rsid w:val="0017431E"/>
    <w:rsid w:val="001768E6"/>
    <w:rsid w:val="00176B79"/>
    <w:rsid w:val="0017750B"/>
    <w:rsid w:val="0018551B"/>
    <w:rsid w:val="00185CAD"/>
    <w:rsid w:val="00191603"/>
    <w:rsid w:val="001934CC"/>
    <w:rsid w:val="0019397A"/>
    <w:rsid w:val="00193AAF"/>
    <w:rsid w:val="00194984"/>
    <w:rsid w:val="00194FF8"/>
    <w:rsid w:val="001957F5"/>
    <w:rsid w:val="001957FC"/>
    <w:rsid w:val="00195C18"/>
    <w:rsid w:val="001966AD"/>
    <w:rsid w:val="00196B8B"/>
    <w:rsid w:val="00197121"/>
    <w:rsid w:val="00197783"/>
    <w:rsid w:val="001A0AAD"/>
    <w:rsid w:val="001A0AD7"/>
    <w:rsid w:val="001A101F"/>
    <w:rsid w:val="001A256E"/>
    <w:rsid w:val="001A2677"/>
    <w:rsid w:val="001A2BCD"/>
    <w:rsid w:val="001A4D86"/>
    <w:rsid w:val="001A579E"/>
    <w:rsid w:val="001A589C"/>
    <w:rsid w:val="001A5F0C"/>
    <w:rsid w:val="001A6274"/>
    <w:rsid w:val="001A6299"/>
    <w:rsid w:val="001B051C"/>
    <w:rsid w:val="001B0693"/>
    <w:rsid w:val="001B0A66"/>
    <w:rsid w:val="001B0AEB"/>
    <w:rsid w:val="001B0C7C"/>
    <w:rsid w:val="001B172B"/>
    <w:rsid w:val="001B1AEC"/>
    <w:rsid w:val="001B1D91"/>
    <w:rsid w:val="001B24A5"/>
    <w:rsid w:val="001B49ED"/>
    <w:rsid w:val="001B64B8"/>
    <w:rsid w:val="001B7D7B"/>
    <w:rsid w:val="001C0F65"/>
    <w:rsid w:val="001C0F9C"/>
    <w:rsid w:val="001C207A"/>
    <w:rsid w:val="001C2D95"/>
    <w:rsid w:val="001C373C"/>
    <w:rsid w:val="001C3997"/>
    <w:rsid w:val="001C46A5"/>
    <w:rsid w:val="001C61E6"/>
    <w:rsid w:val="001C69B4"/>
    <w:rsid w:val="001D09ED"/>
    <w:rsid w:val="001D0EED"/>
    <w:rsid w:val="001D1F2E"/>
    <w:rsid w:val="001D4E25"/>
    <w:rsid w:val="001D4E50"/>
    <w:rsid w:val="001D63D4"/>
    <w:rsid w:val="001D7097"/>
    <w:rsid w:val="001D7746"/>
    <w:rsid w:val="001D7995"/>
    <w:rsid w:val="001D7B2B"/>
    <w:rsid w:val="001D7D02"/>
    <w:rsid w:val="001E0960"/>
    <w:rsid w:val="001E0A3F"/>
    <w:rsid w:val="001E111C"/>
    <w:rsid w:val="001E1222"/>
    <w:rsid w:val="001E1546"/>
    <w:rsid w:val="001E16CE"/>
    <w:rsid w:val="001E2879"/>
    <w:rsid w:val="001E49FD"/>
    <w:rsid w:val="001F0B6E"/>
    <w:rsid w:val="001F1053"/>
    <w:rsid w:val="001F28DB"/>
    <w:rsid w:val="001F39B3"/>
    <w:rsid w:val="001F4E74"/>
    <w:rsid w:val="001F5993"/>
    <w:rsid w:val="001F5D3B"/>
    <w:rsid w:val="001F615A"/>
    <w:rsid w:val="001F714C"/>
    <w:rsid w:val="0020066B"/>
    <w:rsid w:val="00200B68"/>
    <w:rsid w:val="002019BE"/>
    <w:rsid w:val="00202824"/>
    <w:rsid w:val="00202AA8"/>
    <w:rsid w:val="00202F30"/>
    <w:rsid w:val="00203193"/>
    <w:rsid w:val="00204C1C"/>
    <w:rsid w:val="00205872"/>
    <w:rsid w:val="00205DFF"/>
    <w:rsid w:val="002067D9"/>
    <w:rsid w:val="0021095F"/>
    <w:rsid w:val="00210A99"/>
    <w:rsid w:val="00211366"/>
    <w:rsid w:val="002116E0"/>
    <w:rsid w:val="002121F9"/>
    <w:rsid w:val="002144AD"/>
    <w:rsid w:val="00214A5F"/>
    <w:rsid w:val="002220AF"/>
    <w:rsid w:val="00222CB0"/>
    <w:rsid w:val="00222E00"/>
    <w:rsid w:val="00224726"/>
    <w:rsid w:val="00225FDA"/>
    <w:rsid w:val="002264C9"/>
    <w:rsid w:val="00231D74"/>
    <w:rsid w:val="00231D8E"/>
    <w:rsid w:val="00233A04"/>
    <w:rsid w:val="002347AB"/>
    <w:rsid w:val="00234D80"/>
    <w:rsid w:val="00241354"/>
    <w:rsid w:val="00241B0A"/>
    <w:rsid w:val="00250D74"/>
    <w:rsid w:val="00250F08"/>
    <w:rsid w:val="00251292"/>
    <w:rsid w:val="002545B1"/>
    <w:rsid w:val="00254858"/>
    <w:rsid w:val="00254AE7"/>
    <w:rsid w:val="002550A3"/>
    <w:rsid w:val="00255920"/>
    <w:rsid w:val="00256EEE"/>
    <w:rsid w:val="00256F88"/>
    <w:rsid w:val="002608B3"/>
    <w:rsid w:val="00260909"/>
    <w:rsid w:val="002620C8"/>
    <w:rsid w:val="00262493"/>
    <w:rsid w:val="002630B3"/>
    <w:rsid w:val="00263F33"/>
    <w:rsid w:val="002646C9"/>
    <w:rsid w:val="0027317C"/>
    <w:rsid w:val="00273A3F"/>
    <w:rsid w:val="002745DD"/>
    <w:rsid w:val="00274A50"/>
    <w:rsid w:val="00275DFA"/>
    <w:rsid w:val="0027698B"/>
    <w:rsid w:val="00276E9B"/>
    <w:rsid w:val="002772D6"/>
    <w:rsid w:val="00277A21"/>
    <w:rsid w:val="00282691"/>
    <w:rsid w:val="0028356F"/>
    <w:rsid w:val="00283D83"/>
    <w:rsid w:val="00284252"/>
    <w:rsid w:val="0028443B"/>
    <w:rsid w:val="00284CA1"/>
    <w:rsid w:val="00287A17"/>
    <w:rsid w:val="00287A19"/>
    <w:rsid w:val="00287DDD"/>
    <w:rsid w:val="00292271"/>
    <w:rsid w:val="002938B2"/>
    <w:rsid w:val="00294435"/>
    <w:rsid w:val="0029482F"/>
    <w:rsid w:val="002949DE"/>
    <w:rsid w:val="00295247"/>
    <w:rsid w:val="00295653"/>
    <w:rsid w:val="00296270"/>
    <w:rsid w:val="002A1996"/>
    <w:rsid w:val="002A293F"/>
    <w:rsid w:val="002A37E1"/>
    <w:rsid w:val="002A4AC9"/>
    <w:rsid w:val="002A6046"/>
    <w:rsid w:val="002A70E6"/>
    <w:rsid w:val="002A7BE0"/>
    <w:rsid w:val="002B0045"/>
    <w:rsid w:val="002B30A9"/>
    <w:rsid w:val="002B4A8B"/>
    <w:rsid w:val="002B51F6"/>
    <w:rsid w:val="002B6642"/>
    <w:rsid w:val="002B677E"/>
    <w:rsid w:val="002B70D9"/>
    <w:rsid w:val="002B7E08"/>
    <w:rsid w:val="002B7F10"/>
    <w:rsid w:val="002C0859"/>
    <w:rsid w:val="002C098B"/>
    <w:rsid w:val="002C0A9B"/>
    <w:rsid w:val="002C1D90"/>
    <w:rsid w:val="002C2960"/>
    <w:rsid w:val="002C2AC2"/>
    <w:rsid w:val="002C3793"/>
    <w:rsid w:val="002C385D"/>
    <w:rsid w:val="002C4F32"/>
    <w:rsid w:val="002C5FC0"/>
    <w:rsid w:val="002D259E"/>
    <w:rsid w:val="002D3D54"/>
    <w:rsid w:val="002D4888"/>
    <w:rsid w:val="002D4A11"/>
    <w:rsid w:val="002D59E9"/>
    <w:rsid w:val="002D5B98"/>
    <w:rsid w:val="002D6AFC"/>
    <w:rsid w:val="002D6E2F"/>
    <w:rsid w:val="002D7F00"/>
    <w:rsid w:val="002E0204"/>
    <w:rsid w:val="002E3AD6"/>
    <w:rsid w:val="002E3EF9"/>
    <w:rsid w:val="002E45A6"/>
    <w:rsid w:val="002E4EBE"/>
    <w:rsid w:val="002E59D3"/>
    <w:rsid w:val="002E6B4E"/>
    <w:rsid w:val="002F15F7"/>
    <w:rsid w:val="002F1E25"/>
    <w:rsid w:val="002F22C0"/>
    <w:rsid w:val="002F2D9C"/>
    <w:rsid w:val="002F2E0C"/>
    <w:rsid w:val="002F3D58"/>
    <w:rsid w:val="002F4D90"/>
    <w:rsid w:val="002F655B"/>
    <w:rsid w:val="00300514"/>
    <w:rsid w:val="00301336"/>
    <w:rsid w:val="00301A41"/>
    <w:rsid w:val="00302444"/>
    <w:rsid w:val="00302D53"/>
    <w:rsid w:val="00302DC2"/>
    <w:rsid w:val="00302EBB"/>
    <w:rsid w:val="00305260"/>
    <w:rsid w:val="0030607A"/>
    <w:rsid w:val="00306939"/>
    <w:rsid w:val="003077C0"/>
    <w:rsid w:val="00307E08"/>
    <w:rsid w:val="00310F8E"/>
    <w:rsid w:val="003113AF"/>
    <w:rsid w:val="00313296"/>
    <w:rsid w:val="0031336F"/>
    <w:rsid w:val="00313986"/>
    <w:rsid w:val="00317597"/>
    <w:rsid w:val="003175C6"/>
    <w:rsid w:val="00320613"/>
    <w:rsid w:val="00321D8E"/>
    <w:rsid w:val="00322CDE"/>
    <w:rsid w:val="0032395E"/>
    <w:rsid w:val="00323CA4"/>
    <w:rsid w:val="00324020"/>
    <w:rsid w:val="003241A7"/>
    <w:rsid w:val="0032516C"/>
    <w:rsid w:val="003263BC"/>
    <w:rsid w:val="003269E1"/>
    <w:rsid w:val="0033157C"/>
    <w:rsid w:val="0033161C"/>
    <w:rsid w:val="003325B0"/>
    <w:rsid w:val="00333602"/>
    <w:rsid w:val="003345AB"/>
    <w:rsid w:val="0033537E"/>
    <w:rsid w:val="00335A4F"/>
    <w:rsid w:val="00337EE7"/>
    <w:rsid w:val="00337FBC"/>
    <w:rsid w:val="00340592"/>
    <w:rsid w:val="003422CA"/>
    <w:rsid w:val="003458A3"/>
    <w:rsid w:val="003461EE"/>
    <w:rsid w:val="0035217B"/>
    <w:rsid w:val="0035259A"/>
    <w:rsid w:val="00352900"/>
    <w:rsid w:val="003551B7"/>
    <w:rsid w:val="003553A4"/>
    <w:rsid w:val="003570EE"/>
    <w:rsid w:val="003608C4"/>
    <w:rsid w:val="00360EBF"/>
    <w:rsid w:val="00364366"/>
    <w:rsid w:val="003645C9"/>
    <w:rsid w:val="00365CA4"/>
    <w:rsid w:val="00366744"/>
    <w:rsid w:val="00367883"/>
    <w:rsid w:val="003706F6"/>
    <w:rsid w:val="00370E91"/>
    <w:rsid w:val="00371F32"/>
    <w:rsid w:val="00373367"/>
    <w:rsid w:val="003733A6"/>
    <w:rsid w:val="003749E6"/>
    <w:rsid w:val="00375255"/>
    <w:rsid w:val="00375D5A"/>
    <w:rsid w:val="00376A4F"/>
    <w:rsid w:val="00380C77"/>
    <w:rsid w:val="00381A16"/>
    <w:rsid w:val="00381F27"/>
    <w:rsid w:val="00384474"/>
    <w:rsid w:val="00384F8D"/>
    <w:rsid w:val="0038526C"/>
    <w:rsid w:val="00387AAA"/>
    <w:rsid w:val="00387BF6"/>
    <w:rsid w:val="00390711"/>
    <w:rsid w:val="00392604"/>
    <w:rsid w:val="0039325F"/>
    <w:rsid w:val="00393EF7"/>
    <w:rsid w:val="00394414"/>
    <w:rsid w:val="00394E1C"/>
    <w:rsid w:val="00394E54"/>
    <w:rsid w:val="003957D8"/>
    <w:rsid w:val="00396302"/>
    <w:rsid w:val="00396518"/>
    <w:rsid w:val="003A13A9"/>
    <w:rsid w:val="003A17AB"/>
    <w:rsid w:val="003A2C39"/>
    <w:rsid w:val="003A4210"/>
    <w:rsid w:val="003A5DE0"/>
    <w:rsid w:val="003B033E"/>
    <w:rsid w:val="003B0465"/>
    <w:rsid w:val="003B0485"/>
    <w:rsid w:val="003B08ED"/>
    <w:rsid w:val="003B3649"/>
    <w:rsid w:val="003B4FB6"/>
    <w:rsid w:val="003B71B0"/>
    <w:rsid w:val="003B773D"/>
    <w:rsid w:val="003B7C62"/>
    <w:rsid w:val="003C078E"/>
    <w:rsid w:val="003C1B12"/>
    <w:rsid w:val="003C1D75"/>
    <w:rsid w:val="003C2AE7"/>
    <w:rsid w:val="003C2E83"/>
    <w:rsid w:val="003C2E84"/>
    <w:rsid w:val="003C3CEB"/>
    <w:rsid w:val="003C3E83"/>
    <w:rsid w:val="003C77B4"/>
    <w:rsid w:val="003C7AB9"/>
    <w:rsid w:val="003D23DE"/>
    <w:rsid w:val="003D28FE"/>
    <w:rsid w:val="003D3027"/>
    <w:rsid w:val="003D4B25"/>
    <w:rsid w:val="003D4E6D"/>
    <w:rsid w:val="003D6642"/>
    <w:rsid w:val="003E1317"/>
    <w:rsid w:val="003E187C"/>
    <w:rsid w:val="003E18FB"/>
    <w:rsid w:val="003E27F4"/>
    <w:rsid w:val="003E3BC9"/>
    <w:rsid w:val="003E438F"/>
    <w:rsid w:val="003E4928"/>
    <w:rsid w:val="003E6E7D"/>
    <w:rsid w:val="003E76A2"/>
    <w:rsid w:val="003E7AA9"/>
    <w:rsid w:val="003F0C3B"/>
    <w:rsid w:val="003F2BE1"/>
    <w:rsid w:val="003F2D42"/>
    <w:rsid w:val="003F458E"/>
    <w:rsid w:val="003F547C"/>
    <w:rsid w:val="003F564F"/>
    <w:rsid w:val="003F5D12"/>
    <w:rsid w:val="003F6148"/>
    <w:rsid w:val="003F6F2F"/>
    <w:rsid w:val="003F7670"/>
    <w:rsid w:val="00402FB0"/>
    <w:rsid w:val="004047FC"/>
    <w:rsid w:val="0040760E"/>
    <w:rsid w:val="00411FDC"/>
    <w:rsid w:val="004137C2"/>
    <w:rsid w:val="00413AFF"/>
    <w:rsid w:val="00413C82"/>
    <w:rsid w:val="004141A7"/>
    <w:rsid w:val="00415CBD"/>
    <w:rsid w:val="00417992"/>
    <w:rsid w:val="0042043F"/>
    <w:rsid w:val="004208A7"/>
    <w:rsid w:val="0042163E"/>
    <w:rsid w:val="0042211A"/>
    <w:rsid w:val="004226C4"/>
    <w:rsid w:val="00424DDE"/>
    <w:rsid w:val="004253D2"/>
    <w:rsid w:val="00425EFE"/>
    <w:rsid w:val="00426066"/>
    <w:rsid w:val="00426DFE"/>
    <w:rsid w:val="00427226"/>
    <w:rsid w:val="004327F3"/>
    <w:rsid w:val="004327F4"/>
    <w:rsid w:val="00432D37"/>
    <w:rsid w:val="004339DE"/>
    <w:rsid w:val="0043412E"/>
    <w:rsid w:val="0043730E"/>
    <w:rsid w:val="00437AD8"/>
    <w:rsid w:val="00437ADC"/>
    <w:rsid w:val="00437FC7"/>
    <w:rsid w:val="00440E02"/>
    <w:rsid w:val="00440F03"/>
    <w:rsid w:val="0044142F"/>
    <w:rsid w:val="0044239C"/>
    <w:rsid w:val="00442E3B"/>
    <w:rsid w:val="00443A5B"/>
    <w:rsid w:val="004446E7"/>
    <w:rsid w:val="0044509D"/>
    <w:rsid w:val="0044511B"/>
    <w:rsid w:val="0044585E"/>
    <w:rsid w:val="00446328"/>
    <w:rsid w:val="004467E0"/>
    <w:rsid w:val="00446C5E"/>
    <w:rsid w:val="00446D2F"/>
    <w:rsid w:val="00446EF5"/>
    <w:rsid w:val="00447C01"/>
    <w:rsid w:val="00450018"/>
    <w:rsid w:val="004500CF"/>
    <w:rsid w:val="00451913"/>
    <w:rsid w:val="00451EF9"/>
    <w:rsid w:val="0045260D"/>
    <w:rsid w:val="004538AA"/>
    <w:rsid w:val="00454975"/>
    <w:rsid w:val="00454BAC"/>
    <w:rsid w:val="00455879"/>
    <w:rsid w:val="00455A53"/>
    <w:rsid w:val="00456686"/>
    <w:rsid w:val="00461066"/>
    <w:rsid w:val="0046283F"/>
    <w:rsid w:val="004645B6"/>
    <w:rsid w:val="004662F7"/>
    <w:rsid w:val="00466C37"/>
    <w:rsid w:val="004674AA"/>
    <w:rsid w:val="00470083"/>
    <w:rsid w:val="0047013E"/>
    <w:rsid w:val="00470BB0"/>
    <w:rsid w:val="00471EA9"/>
    <w:rsid w:val="00472510"/>
    <w:rsid w:val="004728CC"/>
    <w:rsid w:val="004729A6"/>
    <w:rsid w:val="00472ED8"/>
    <w:rsid w:val="00472F27"/>
    <w:rsid w:val="004742D4"/>
    <w:rsid w:val="004771FF"/>
    <w:rsid w:val="00477B13"/>
    <w:rsid w:val="00480E9C"/>
    <w:rsid w:val="00480F0F"/>
    <w:rsid w:val="004811C9"/>
    <w:rsid w:val="00481B1D"/>
    <w:rsid w:val="00481D42"/>
    <w:rsid w:val="00481ECD"/>
    <w:rsid w:val="004823E9"/>
    <w:rsid w:val="004831E1"/>
    <w:rsid w:val="004832B5"/>
    <w:rsid w:val="00483DAF"/>
    <w:rsid w:val="00484266"/>
    <w:rsid w:val="00484F05"/>
    <w:rsid w:val="0048588B"/>
    <w:rsid w:val="00487605"/>
    <w:rsid w:val="00487F27"/>
    <w:rsid w:val="00491327"/>
    <w:rsid w:val="004917FA"/>
    <w:rsid w:val="004918A7"/>
    <w:rsid w:val="00491E20"/>
    <w:rsid w:val="00492C17"/>
    <w:rsid w:val="00493809"/>
    <w:rsid w:val="00495F7B"/>
    <w:rsid w:val="00496D95"/>
    <w:rsid w:val="0049793E"/>
    <w:rsid w:val="00497C38"/>
    <w:rsid w:val="004A0909"/>
    <w:rsid w:val="004A0979"/>
    <w:rsid w:val="004A0CBB"/>
    <w:rsid w:val="004A0CC5"/>
    <w:rsid w:val="004A1400"/>
    <w:rsid w:val="004A159B"/>
    <w:rsid w:val="004A1ED5"/>
    <w:rsid w:val="004A2164"/>
    <w:rsid w:val="004A23AA"/>
    <w:rsid w:val="004A3288"/>
    <w:rsid w:val="004A4D1F"/>
    <w:rsid w:val="004A6D45"/>
    <w:rsid w:val="004A7AEF"/>
    <w:rsid w:val="004B005C"/>
    <w:rsid w:val="004B0E22"/>
    <w:rsid w:val="004B11A8"/>
    <w:rsid w:val="004B1DD9"/>
    <w:rsid w:val="004B255B"/>
    <w:rsid w:val="004B25B0"/>
    <w:rsid w:val="004B4AF6"/>
    <w:rsid w:val="004B4DA9"/>
    <w:rsid w:val="004B53CF"/>
    <w:rsid w:val="004B54C0"/>
    <w:rsid w:val="004B6B20"/>
    <w:rsid w:val="004C3B42"/>
    <w:rsid w:val="004C4B26"/>
    <w:rsid w:val="004C6E42"/>
    <w:rsid w:val="004C7607"/>
    <w:rsid w:val="004C7F42"/>
    <w:rsid w:val="004D0D0B"/>
    <w:rsid w:val="004D109C"/>
    <w:rsid w:val="004D1141"/>
    <w:rsid w:val="004D23A6"/>
    <w:rsid w:val="004D2AD0"/>
    <w:rsid w:val="004D4864"/>
    <w:rsid w:val="004D6A69"/>
    <w:rsid w:val="004E08CC"/>
    <w:rsid w:val="004E0B30"/>
    <w:rsid w:val="004E1EE0"/>
    <w:rsid w:val="004E4F3A"/>
    <w:rsid w:val="004E5FB0"/>
    <w:rsid w:val="004F00E9"/>
    <w:rsid w:val="004F4B71"/>
    <w:rsid w:val="004F50F1"/>
    <w:rsid w:val="00500990"/>
    <w:rsid w:val="0050116F"/>
    <w:rsid w:val="0050365E"/>
    <w:rsid w:val="005073EA"/>
    <w:rsid w:val="005100B3"/>
    <w:rsid w:val="0051117D"/>
    <w:rsid w:val="005113F3"/>
    <w:rsid w:val="00511422"/>
    <w:rsid w:val="00511D50"/>
    <w:rsid w:val="00512779"/>
    <w:rsid w:val="0051284B"/>
    <w:rsid w:val="005136C5"/>
    <w:rsid w:val="0051555A"/>
    <w:rsid w:val="005157A7"/>
    <w:rsid w:val="00520D9C"/>
    <w:rsid w:val="00521427"/>
    <w:rsid w:val="00521EB5"/>
    <w:rsid w:val="005230E5"/>
    <w:rsid w:val="00524F5A"/>
    <w:rsid w:val="0052540F"/>
    <w:rsid w:val="00525A71"/>
    <w:rsid w:val="00527864"/>
    <w:rsid w:val="00527B97"/>
    <w:rsid w:val="00531669"/>
    <w:rsid w:val="00534476"/>
    <w:rsid w:val="00534ABE"/>
    <w:rsid w:val="00535A55"/>
    <w:rsid w:val="005366B8"/>
    <w:rsid w:val="00536B22"/>
    <w:rsid w:val="00537F09"/>
    <w:rsid w:val="00540386"/>
    <w:rsid w:val="005413CE"/>
    <w:rsid w:val="00541AE1"/>
    <w:rsid w:val="00542065"/>
    <w:rsid w:val="00542DA6"/>
    <w:rsid w:val="0054347C"/>
    <w:rsid w:val="00543C7E"/>
    <w:rsid w:val="00545F39"/>
    <w:rsid w:val="005466BB"/>
    <w:rsid w:val="00547977"/>
    <w:rsid w:val="00550345"/>
    <w:rsid w:val="00551A59"/>
    <w:rsid w:val="00552F4A"/>
    <w:rsid w:val="005533E1"/>
    <w:rsid w:val="00554716"/>
    <w:rsid w:val="00554E0E"/>
    <w:rsid w:val="00554EC1"/>
    <w:rsid w:val="00554FA9"/>
    <w:rsid w:val="005553B9"/>
    <w:rsid w:val="00555C0C"/>
    <w:rsid w:val="0055644E"/>
    <w:rsid w:val="005578AB"/>
    <w:rsid w:val="00560476"/>
    <w:rsid w:val="00563E59"/>
    <w:rsid w:val="005642AA"/>
    <w:rsid w:val="005648D1"/>
    <w:rsid w:val="00564F02"/>
    <w:rsid w:val="00567366"/>
    <w:rsid w:val="00570528"/>
    <w:rsid w:val="0057234A"/>
    <w:rsid w:val="00572C74"/>
    <w:rsid w:val="00573D38"/>
    <w:rsid w:val="0057458F"/>
    <w:rsid w:val="0057564E"/>
    <w:rsid w:val="00575C36"/>
    <w:rsid w:val="00576DAA"/>
    <w:rsid w:val="0057746C"/>
    <w:rsid w:val="00581F97"/>
    <w:rsid w:val="005840EA"/>
    <w:rsid w:val="00584CF9"/>
    <w:rsid w:val="00587FC3"/>
    <w:rsid w:val="00590E9B"/>
    <w:rsid w:val="005963D9"/>
    <w:rsid w:val="00596CE3"/>
    <w:rsid w:val="00597426"/>
    <w:rsid w:val="005A21E5"/>
    <w:rsid w:val="005A34B0"/>
    <w:rsid w:val="005A4765"/>
    <w:rsid w:val="005A539D"/>
    <w:rsid w:val="005A6057"/>
    <w:rsid w:val="005A6090"/>
    <w:rsid w:val="005B0854"/>
    <w:rsid w:val="005B0AB7"/>
    <w:rsid w:val="005B171D"/>
    <w:rsid w:val="005B2114"/>
    <w:rsid w:val="005B2B5E"/>
    <w:rsid w:val="005B2C96"/>
    <w:rsid w:val="005B44FB"/>
    <w:rsid w:val="005B5A07"/>
    <w:rsid w:val="005B6A49"/>
    <w:rsid w:val="005B7833"/>
    <w:rsid w:val="005C0FCC"/>
    <w:rsid w:val="005C1A47"/>
    <w:rsid w:val="005C1E6B"/>
    <w:rsid w:val="005C23F9"/>
    <w:rsid w:val="005C491A"/>
    <w:rsid w:val="005C4F4B"/>
    <w:rsid w:val="005C5233"/>
    <w:rsid w:val="005C7D44"/>
    <w:rsid w:val="005D1420"/>
    <w:rsid w:val="005D1DBE"/>
    <w:rsid w:val="005D30E2"/>
    <w:rsid w:val="005D3322"/>
    <w:rsid w:val="005D3FF5"/>
    <w:rsid w:val="005D47D7"/>
    <w:rsid w:val="005D493A"/>
    <w:rsid w:val="005D62F6"/>
    <w:rsid w:val="005E0068"/>
    <w:rsid w:val="005E100A"/>
    <w:rsid w:val="005E377C"/>
    <w:rsid w:val="005E43F8"/>
    <w:rsid w:val="005E4626"/>
    <w:rsid w:val="005F1245"/>
    <w:rsid w:val="005F1FC7"/>
    <w:rsid w:val="005F2945"/>
    <w:rsid w:val="005F2E47"/>
    <w:rsid w:val="005F3EF6"/>
    <w:rsid w:val="005F3FB1"/>
    <w:rsid w:val="005F72F4"/>
    <w:rsid w:val="0060104B"/>
    <w:rsid w:val="006043DF"/>
    <w:rsid w:val="00605FF8"/>
    <w:rsid w:val="0060697E"/>
    <w:rsid w:val="00606C7A"/>
    <w:rsid w:val="0061096E"/>
    <w:rsid w:val="00610FC7"/>
    <w:rsid w:val="00611363"/>
    <w:rsid w:val="00612E1C"/>
    <w:rsid w:val="0061376A"/>
    <w:rsid w:val="00613F06"/>
    <w:rsid w:val="00614425"/>
    <w:rsid w:val="00614469"/>
    <w:rsid w:val="0061484D"/>
    <w:rsid w:val="0061518E"/>
    <w:rsid w:val="00616D9F"/>
    <w:rsid w:val="0061761B"/>
    <w:rsid w:val="00617BFB"/>
    <w:rsid w:val="00620BFB"/>
    <w:rsid w:val="00621A98"/>
    <w:rsid w:val="00622B94"/>
    <w:rsid w:val="00623274"/>
    <w:rsid w:val="00623B7D"/>
    <w:rsid w:val="00625E13"/>
    <w:rsid w:val="00626C94"/>
    <w:rsid w:val="006300FA"/>
    <w:rsid w:val="00631817"/>
    <w:rsid w:val="0063286A"/>
    <w:rsid w:val="006328CA"/>
    <w:rsid w:val="00635187"/>
    <w:rsid w:val="00636654"/>
    <w:rsid w:val="00636C89"/>
    <w:rsid w:val="00642122"/>
    <w:rsid w:val="006427EF"/>
    <w:rsid w:val="00642CD2"/>
    <w:rsid w:val="00643573"/>
    <w:rsid w:val="00645FC1"/>
    <w:rsid w:val="00650B58"/>
    <w:rsid w:val="0065131C"/>
    <w:rsid w:val="00651327"/>
    <w:rsid w:val="006520BB"/>
    <w:rsid w:val="00654013"/>
    <w:rsid w:val="00654069"/>
    <w:rsid w:val="00654387"/>
    <w:rsid w:val="006551F1"/>
    <w:rsid w:val="0065668D"/>
    <w:rsid w:val="00657015"/>
    <w:rsid w:val="00657ED5"/>
    <w:rsid w:val="00661613"/>
    <w:rsid w:val="0066292F"/>
    <w:rsid w:val="00665034"/>
    <w:rsid w:val="00665D71"/>
    <w:rsid w:val="00667938"/>
    <w:rsid w:val="00667F23"/>
    <w:rsid w:val="00670F4E"/>
    <w:rsid w:val="00671001"/>
    <w:rsid w:val="00673386"/>
    <w:rsid w:val="006739AA"/>
    <w:rsid w:val="00673F9A"/>
    <w:rsid w:val="00674402"/>
    <w:rsid w:val="00675076"/>
    <w:rsid w:val="006757AD"/>
    <w:rsid w:val="00675E56"/>
    <w:rsid w:val="00676945"/>
    <w:rsid w:val="00677FCF"/>
    <w:rsid w:val="00680948"/>
    <w:rsid w:val="00680B95"/>
    <w:rsid w:val="00681898"/>
    <w:rsid w:val="00682536"/>
    <w:rsid w:val="00685C4C"/>
    <w:rsid w:val="00686EEB"/>
    <w:rsid w:val="00687586"/>
    <w:rsid w:val="00687CBC"/>
    <w:rsid w:val="00691B3C"/>
    <w:rsid w:val="00692385"/>
    <w:rsid w:val="00692AC8"/>
    <w:rsid w:val="00693292"/>
    <w:rsid w:val="00693A31"/>
    <w:rsid w:val="006940A1"/>
    <w:rsid w:val="006946B0"/>
    <w:rsid w:val="0069648F"/>
    <w:rsid w:val="00696ADA"/>
    <w:rsid w:val="006976E7"/>
    <w:rsid w:val="00697C9F"/>
    <w:rsid w:val="006A04FA"/>
    <w:rsid w:val="006A07F6"/>
    <w:rsid w:val="006A0A3E"/>
    <w:rsid w:val="006A0DE4"/>
    <w:rsid w:val="006A11E5"/>
    <w:rsid w:val="006A18C5"/>
    <w:rsid w:val="006A3533"/>
    <w:rsid w:val="006B02C0"/>
    <w:rsid w:val="006B0D7D"/>
    <w:rsid w:val="006B19B3"/>
    <w:rsid w:val="006B39FE"/>
    <w:rsid w:val="006B49CA"/>
    <w:rsid w:val="006B4B3D"/>
    <w:rsid w:val="006B65EF"/>
    <w:rsid w:val="006C00CE"/>
    <w:rsid w:val="006C10D2"/>
    <w:rsid w:val="006C2775"/>
    <w:rsid w:val="006C3FED"/>
    <w:rsid w:val="006C536F"/>
    <w:rsid w:val="006C6340"/>
    <w:rsid w:val="006C725E"/>
    <w:rsid w:val="006D0611"/>
    <w:rsid w:val="006D091E"/>
    <w:rsid w:val="006D09E5"/>
    <w:rsid w:val="006D1963"/>
    <w:rsid w:val="006D3793"/>
    <w:rsid w:val="006D470B"/>
    <w:rsid w:val="006D49E9"/>
    <w:rsid w:val="006D4B63"/>
    <w:rsid w:val="006D5413"/>
    <w:rsid w:val="006D64D5"/>
    <w:rsid w:val="006D6AB7"/>
    <w:rsid w:val="006E05CC"/>
    <w:rsid w:val="006E0FC3"/>
    <w:rsid w:val="006E1999"/>
    <w:rsid w:val="006E3A7A"/>
    <w:rsid w:val="006E795E"/>
    <w:rsid w:val="006E7986"/>
    <w:rsid w:val="006E7CA5"/>
    <w:rsid w:val="006F0E53"/>
    <w:rsid w:val="006F2CF5"/>
    <w:rsid w:val="006F3AA7"/>
    <w:rsid w:val="006F4265"/>
    <w:rsid w:val="007019C8"/>
    <w:rsid w:val="00702ED9"/>
    <w:rsid w:val="0070315D"/>
    <w:rsid w:val="007034D7"/>
    <w:rsid w:val="0070389E"/>
    <w:rsid w:val="00703AFA"/>
    <w:rsid w:val="007042F7"/>
    <w:rsid w:val="00705144"/>
    <w:rsid w:val="00707A19"/>
    <w:rsid w:val="00711599"/>
    <w:rsid w:val="00711684"/>
    <w:rsid w:val="007120AB"/>
    <w:rsid w:val="00712383"/>
    <w:rsid w:val="007168B5"/>
    <w:rsid w:val="00716D1F"/>
    <w:rsid w:val="0071730C"/>
    <w:rsid w:val="007219F8"/>
    <w:rsid w:val="00721C24"/>
    <w:rsid w:val="00722190"/>
    <w:rsid w:val="00722D57"/>
    <w:rsid w:val="00724111"/>
    <w:rsid w:val="00730C29"/>
    <w:rsid w:val="00731E42"/>
    <w:rsid w:val="00731EDB"/>
    <w:rsid w:val="00733669"/>
    <w:rsid w:val="007353DE"/>
    <w:rsid w:val="00736025"/>
    <w:rsid w:val="007360DB"/>
    <w:rsid w:val="00737B35"/>
    <w:rsid w:val="00740B8F"/>
    <w:rsid w:val="00743134"/>
    <w:rsid w:val="00743BD2"/>
    <w:rsid w:val="007469C9"/>
    <w:rsid w:val="007469D6"/>
    <w:rsid w:val="00747684"/>
    <w:rsid w:val="0075344A"/>
    <w:rsid w:val="00755078"/>
    <w:rsid w:val="00756018"/>
    <w:rsid w:val="007562B7"/>
    <w:rsid w:val="00757D5B"/>
    <w:rsid w:val="007616F4"/>
    <w:rsid w:val="00763431"/>
    <w:rsid w:val="00763EEF"/>
    <w:rsid w:val="007644BD"/>
    <w:rsid w:val="00764652"/>
    <w:rsid w:val="00766438"/>
    <w:rsid w:val="007668A4"/>
    <w:rsid w:val="00766910"/>
    <w:rsid w:val="00766BE8"/>
    <w:rsid w:val="00767102"/>
    <w:rsid w:val="0076784A"/>
    <w:rsid w:val="007720A0"/>
    <w:rsid w:val="00773481"/>
    <w:rsid w:val="0077358A"/>
    <w:rsid w:val="007739A6"/>
    <w:rsid w:val="00774F8B"/>
    <w:rsid w:val="0077514F"/>
    <w:rsid w:val="00775331"/>
    <w:rsid w:val="00775E09"/>
    <w:rsid w:val="00780FB9"/>
    <w:rsid w:val="0078180F"/>
    <w:rsid w:val="00782821"/>
    <w:rsid w:val="00783C76"/>
    <w:rsid w:val="007848BC"/>
    <w:rsid w:val="0078687C"/>
    <w:rsid w:val="00786F5F"/>
    <w:rsid w:val="007919D8"/>
    <w:rsid w:val="00791BCC"/>
    <w:rsid w:val="00792B47"/>
    <w:rsid w:val="00793D51"/>
    <w:rsid w:val="00794128"/>
    <w:rsid w:val="007943E0"/>
    <w:rsid w:val="0079440E"/>
    <w:rsid w:val="00796780"/>
    <w:rsid w:val="0079726B"/>
    <w:rsid w:val="007A0A14"/>
    <w:rsid w:val="007A1011"/>
    <w:rsid w:val="007A27A6"/>
    <w:rsid w:val="007A2C52"/>
    <w:rsid w:val="007A34EB"/>
    <w:rsid w:val="007A39E9"/>
    <w:rsid w:val="007A4251"/>
    <w:rsid w:val="007A542A"/>
    <w:rsid w:val="007A55D5"/>
    <w:rsid w:val="007A61D4"/>
    <w:rsid w:val="007A72BB"/>
    <w:rsid w:val="007B0763"/>
    <w:rsid w:val="007B0840"/>
    <w:rsid w:val="007B0E14"/>
    <w:rsid w:val="007B1DB2"/>
    <w:rsid w:val="007B307B"/>
    <w:rsid w:val="007B316E"/>
    <w:rsid w:val="007B3B28"/>
    <w:rsid w:val="007B4E92"/>
    <w:rsid w:val="007B50DA"/>
    <w:rsid w:val="007B6671"/>
    <w:rsid w:val="007B688D"/>
    <w:rsid w:val="007B709B"/>
    <w:rsid w:val="007B7A66"/>
    <w:rsid w:val="007C15BB"/>
    <w:rsid w:val="007C18ED"/>
    <w:rsid w:val="007C2B36"/>
    <w:rsid w:val="007C59CB"/>
    <w:rsid w:val="007C62A5"/>
    <w:rsid w:val="007C6ACA"/>
    <w:rsid w:val="007C6DFC"/>
    <w:rsid w:val="007C6E12"/>
    <w:rsid w:val="007C76D4"/>
    <w:rsid w:val="007D0C8F"/>
    <w:rsid w:val="007D0CD4"/>
    <w:rsid w:val="007D1241"/>
    <w:rsid w:val="007D1298"/>
    <w:rsid w:val="007D1738"/>
    <w:rsid w:val="007D1798"/>
    <w:rsid w:val="007D2250"/>
    <w:rsid w:val="007D25D2"/>
    <w:rsid w:val="007D2CB5"/>
    <w:rsid w:val="007D2E38"/>
    <w:rsid w:val="007D396E"/>
    <w:rsid w:val="007D3BED"/>
    <w:rsid w:val="007D5C65"/>
    <w:rsid w:val="007D5F72"/>
    <w:rsid w:val="007D6A86"/>
    <w:rsid w:val="007D6BB3"/>
    <w:rsid w:val="007E13FB"/>
    <w:rsid w:val="007E3296"/>
    <w:rsid w:val="007E5465"/>
    <w:rsid w:val="007E546E"/>
    <w:rsid w:val="007E5C52"/>
    <w:rsid w:val="007F01DC"/>
    <w:rsid w:val="007F0B8C"/>
    <w:rsid w:val="007F1DE1"/>
    <w:rsid w:val="007F1F3B"/>
    <w:rsid w:val="007F33A4"/>
    <w:rsid w:val="007F5230"/>
    <w:rsid w:val="007F6A61"/>
    <w:rsid w:val="007F6A78"/>
    <w:rsid w:val="007F7E88"/>
    <w:rsid w:val="0080205F"/>
    <w:rsid w:val="00802E12"/>
    <w:rsid w:val="008066F8"/>
    <w:rsid w:val="008067DD"/>
    <w:rsid w:val="0080718B"/>
    <w:rsid w:val="00807581"/>
    <w:rsid w:val="00810B0D"/>
    <w:rsid w:val="00811740"/>
    <w:rsid w:val="00811772"/>
    <w:rsid w:val="00811B46"/>
    <w:rsid w:val="00811B85"/>
    <w:rsid w:val="00812A41"/>
    <w:rsid w:val="00813A92"/>
    <w:rsid w:val="00815697"/>
    <w:rsid w:val="00815E94"/>
    <w:rsid w:val="00816A51"/>
    <w:rsid w:val="00817705"/>
    <w:rsid w:val="008179F5"/>
    <w:rsid w:val="008205B9"/>
    <w:rsid w:val="0082111C"/>
    <w:rsid w:val="00821C14"/>
    <w:rsid w:val="00821E3B"/>
    <w:rsid w:val="00823342"/>
    <w:rsid w:val="00823AB0"/>
    <w:rsid w:val="00823B5B"/>
    <w:rsid w:val="00824200"/>
    <w:rsid w:val="008243F3"/>
    <w:rsid w:val="00825645"/>
    <w:rsid w:val="00825899"/>
    <w:rsid w:val="00827C0F"/>
    <w:rsid w:val="00827FD0"/>
    <w:rsid w:val="00830078"/>
    <w:rsid w:val="00830A12"/>
    <w:rsid w:val="00831376"/>
    <w:rsid w:val="00834626"/>
    <w:rsid w:val="008348D5"/>
    <w:rsid w:val="00834BAA"/>
    <w:rsid w:val="00840381"/>
    <w:rsid w:val="0084109B"/>
    <w:rsid w:val="00841929"/>
    <w:rsid w:val="00841B8E"/>
    <w:rsid w:val="00841FA5"/>
    <w:rsid w:val="00842B5E"/>
    <w:rsid w:val="00842F60"/>
    <w:rsid w:val="00843C16"/>
    <w:rsid w:val="00844C8C"/>
    <w:rsid w:val="00844EEC"/>
    <w:rsid w:val="00845176"/>
    <w:rsid w:val="008463E0"/>
    <w:rsid w:val="00846ADE"/>
    <w:rsid w:val="00850AE4"/>
    <w:rsid w:val="00850EEF"/>
    <w:rsid w:val="008523C8"/>
    <w:rsid w:val="00852F0F"/>
    <w:rsid w:val="0085325F"/>
    <w:rsid w:val="00853767"/>
    <w:rsid w:val="00853D6B"/>
    <w:rsid w:val="00853F83"/>
    <w:rsid w:val="008542FB"/>
    <w:rsid w:val="00855053"/>
    <w:rsid w:val="00855A99"/>
    <w:rsid w:val="008563BB"/>
    <w:rsid w:val="00857691"/>
    <w:rsid w:val="00857B9C"/>
    <w:rsid w:val="008604B2"/>
    <w:rsid w:val="008641C4"/>
    <w:rsid w:val="00864456"/>
    <w:rsid w:val="00864738"/>
    <w:rsid w:val="00865E07"/>
    <w:rsid w:val="00867268"/>
    <w:rsid w:val="00867444"/>
    <w:rsid w:val="00867EEF"/>
    <w:rsid w:val="008701BF"/>
    <w:rsid w:val="00872E59"/>
    <w:rsid w:val="00873A2D"/>
    <w:rsid w:val="00875314"/>
    <w:rsid w:val="00876953"/>
    <w:rsid w:val="008773A0"/>
    <w:rsid w:val="00880EF1"/>
    <w:rsid w:val="0088243D"/>
    <w:rsid w:val="008832C8"/>
    <w:rsid w:val="00883747"/>
    <w:rsid w:val="0088485D"/>
    <w:rsid w:val="00887429"/>
    <w:rsid w:val="00887F21"/>
    <w:rsid w:val="00891EB6"/>
    <w:rsid w:val="00892A8F"/>
    <w:rsid w:val="00894C5D"/>
    <w:rsid w:val="00895AAD"/>
    <w:rsid w:val="008970A3"/>
    <w:rsid w:val="008A00BC"/>
    <w:rsid w:val="008A1B2B"/>
    <w:rsid w:val="008A1C90"/>
    <w:rsid w:val="008A63E6"/>
    <w:rsid w:val="008A66C8"/>
    <w:rsid w:val="008A6AB0"/>
    <w:rsid w:val="008A6D7C"/>
    <w:rsid w:val="008B0C19"/>
    <w:rsid w:val="008B1251"/>
    <w:rsid w:val="008B1E44"/>
    <w:rsid w:val="008B236A"/>
    <w:rsid w:val="008B3BE5"/>
    <w:rsid w:val="008B5764"/>
    <w:rsid w:val="008B613D"/>
    <w:rsid w:val="008B6EB3"/>
    <w:rsid w:val="008B763B"/>
    <w:rsid w:val="008B7993"/>
    <w:rsid w:val="008C0AC7"/>
    <w:rsid w:val="008C0D1A"/>
    <w:rsid w:val="008C0FD0"/>
    <w:rsid w:val="008C166B"/>
    <w:rsid w:val="008C1BE9"/>
    <w:rsid w:val="008C1F88"/>
    <w:rsid w:val="008C2973"/>
    <w:rsid w:val="008C2D44"/>
    <w:rsid w:val="008C42E3"/>
    <w:rsid w:val="008C5279"/>
    <w:rsid w:val="008C556C"/>
    <w:rsid w:val="008C63A8"/>
    <w:rsid w:val="008C7AE2"/>
    <w:rsid w:val="008D0256"/>
    <w:rsid w:val="008D0C66"/>
    <w:rsid w:val="008D0CD5"/>
    <w:rsid w:val="008D35AF"/>
    <w:rsid w:val="008D41EB"/>
    <w:rsid w:val="008E0D98"/>
    <w:rsid w:val="008E14CC"/>
    <w:rsid w:val="008E15F0"/>
    <w:rsid w:val="008E1B70"/>
    <w:rsid w:val="008E283A"/>
    <w:rsid w:val="008E2F40"/>
    <w:rsid w:val="008E3364"/>
    <w:rsid w:val="008E3702"/>
    <w:rsid w:val="008E3DB2"/>
    <w:rsid w:val="008E4076"/>
    <w:rsid w:val="008E467F"/>
    <w:rsid w:val="008E4B78"/>
    <w:rsid w:val="008E5097"/>
    <w:rsid w:val="008E5E3D"/>
    <w:rsid w:val="008E7410"/>
    <w:rsid w:val="008F043E"/>
    <w:rsid w:val="008F0A4E"/>
    <w:rsid w:val="008F0A94"/>
    <w:rsid w:val="008F0C4A"/>
    <w:rsid w:val="008F2D2B"/>
    <w:rsid w:val="008F3A5C"/>
    <w:rsid w:val="008F5C61"/>
    <w:rsid w:val="008F6E65"/>
    <w:rsid w:val="0090106F"/>
    <w:rsid w:val="00901E5B"/>
    <w:rsid w:val="00905585"/>
    <w:rsid w:val="00905A85"/>
    <w:rsid w:val="00905BCC"/>
    <w:rsid w:val="00906580"/>
    <w:rsid w:val="00907596"/>
    <w:rsid w:val="0090797D"/>
    <w:rsid w:val="009118F8"/>
    <w:rsid w:val="00911CFD"/>
    <w:rsid w:val="00911F26"/>
    <w:rsid w:val="00913FE5"/>
    <w:rsid w:val="00914228"/>
    <w:rsid w:val="0091600B"/>
    <w:rsid w:val="009166FE"/>
    <w:rsid w:val="00916F99"/>
    <w:rsid w:val="00917DD0"/>
    <w:rsid w:val="0092035D"/>
    <w:rsid w:val="00920A2A"/>
    <w:rsid w:val="009213A0"/>
    <w:rsid w:val="00921B4C"/>
    <w:rsid w:val="00923D06"/>
    <w:rsid w:val="00925735"/>
    <w:rsid w:val="00925DB1"/>
    <w:rsid w:val="00926BC4"/>
    <w:rsid w:val="00926BF4"/>
    <w:rsid w:val="00926F55"/>
    <w:rsid w:val="00933B2F"/>
    <w:rsid w:val="0093438F"/>
    <w:rsid w:val="00934C36"/>
    <w:rsid w:val="00934CF0"/>
    <w:rsid w:val="009372EE"/>
    <w:rsid w:val="0093792B"/>
    <w:rsid w:val="00937D4C"/>
    <w:rsid w:val="009408D6"/>
    <w:rsid w:val="00941E47"/>
    <w:rsid w:val="009421F0"/>
    <w:rsid w:val="00942AB8"/>
    <w:rsid w:val="009440AF"/>
    <w:rsid w:val="00944E90"/>
    <w:rsid w:val="00945B4A"/>
    <w:rsid w:val="00946441"/>
    <w:rsid w:val="0094660A"/>
    <w:rsid w:val="00947173"/>
    <w:rsid w:val="00947519"/>
    <w:rsid w:val="00947B4F"/>
    <w:rsid w:val="00950712"/>
    <w:rsid w:val="00951E6A"/>
    <w:rsid w:val="00951EC0"/>
    <w:rsid w:val="009527C7"/>
    <w:rsid w:val="0095291B"/>
    <w:rsid w:val="00952AB4"/>
    <w:rsid w:val="00955B3E"/>
    <w:rsid w:val="00956BFC"/>
    <w:rsid w:val="00961601"/>
    <w:rsid w:val="009637FD"/>
    <w:rsid w:val="00964008"/>
    <w:rsid w:val="009663E0"/>
    <w:rsid w:val="00970026"/>
    <w:rsid w:val="0097400F"/>
    <w:rsid w:val="0097425F"/>
    <w:rsid w:val="009753EB"/>
    <w:rsid w:val="009759CC"/>
    <w:rsid w:val="00980FB5"/>
    <w:rsid w:val="009817FD"/>
    <w:rsid w:val="00982729"/>
    <w:rsid w:val="00984B17"/>
    <w:rsid w:val="00984D86"/>
    <w:rsid w:val="009922DF"/>
    <w:rsid w:val="00993215"/>
    <w:rsid w:val="009946FA"/>
    <w:rsid w:val="00995512"/>
    <w:rsid w:val="00997826"/>
    <w:rsid w:val="009A0C14"/>
    <w:rsid w:val="009A42A5"/>
    <w:rsid w:val="009A45F1"/>
    <w:rsid w:val="009A4BFD"/>
    <w:rsid w:val="009A4E90"/>
    <w:rsid w:val="009A596C"/>
    <w:rsid w:val="009A60AE"/>
    <w:rsid w:val="009A7270"/>
    <w:rsid w:val="009B0748"/>
    <w:rsid w:val="009B09A6"/>
    <w:rsid w:val="009B0A90"/>
    <w:rsid w:val="009B4152"/>
    <w:rsid w:val="009B4967"/>
    <w:rsid w:val="009B71F4"/>
    <w:rsid w:val="009C022C"/>
    <w:rsid w:val="009C150D"/>
    <w:rsid w:val="009C16D2"/>
    <w:rsid w:val="009C5704"/>
    <w:rsid w:val="009C58C7"/>
    <w:rsid w:val="009C5CD1"/>
    <w:rsid w:val="009C5FDD"/>
    <w:rsid w:val="009D0D54"/>
    <w:rsid w:val="009D471B"/>
    <w:rsid w:val="009D7467"/>
    <w:rsid w:val="009E01B6"/>
    <w:rsid w:val="009E1A27"/>
    <w:rsid w:val="009E1E9A"/>
    <w:rsid w:val="009E2042"/>
    <w:rsid w:val="009E2974"/>
    <w:rsid w:val="009E3393"/>
    <w:rsid w:val="009E40E8"/>
    <w:rsid w:val="009E509B"/>
    <w:rsid w:val="009E6921"/>
    <w:rsid w:val="009F034C"/>
    <w:rsid w:val="009F2092"/>
    <w:rsid w:val="009F215F"/>
    <w:rsid w:val="009F2FA6"/>
    <w:rsid w:val="009F3507"/>
    <w:rsid w:val="009F351A"/>
    <w:rsid w:val="009F5199"/>
    <w:rsid w:val="009F57AD"/>
    <w:rsid w:val="009F79B8"/>
    <w:rsid w:val="00A00329"/>
    <w:rsid w:val="00A0067C"/>
    <w:rsid w:val="00A0104B"/>
    <w:rsid w:val="00A01F3F"/>
    <w:rsid w:val="00A023AF"/>
    <w:rsid w:val="00A02FEC"/>
    <w:rsid w:val="00A03E11"/>
    <w:rsid w:val="00A0498A"/>
    <w:rsid w:val="00A04B0E"/>
    <w:rsid w:val="00A0536C"/>
    <w:rsid w:val="00A07B0B"/>
    <w:rsid w:val="00A11D6B"/>
    <w:rsid w:val="00A130AD"/>
    <w:rsid w:val="00A14EF5"/>
    <w:rsid w:val="00A15156"/>
    <w:rsid w:val="00A17C76"/>
    <w:rsid w:val="00A21365"/>
    <w:rsid w:val="00A21377"/>
    <w:rsid w:val="00A2195D"/>
    <w:rsid w:val="00A224C2"/>
    <w:rsid w:val="00A23EA5"/>
    <w:rsid w:val="00A2425B"/>
    <w:rsid w:val="00A2697D"/>
    <w:rsid w:val="00A30CFB"/>
    <w:rsid w:val="00A30E49"/>
    <w:rsid w:val="00A30EFD"/>
    <w:rsid w:val="00A3141E"/>
    <w:rsid w:val="00A31552"/>
    <w:rsid w:val="00A31678"/>
    <w:rsid w:val="00A31F9B"/>
    <w:rsid w:val="00A32071"/>
    <w:rsid w:val="00A32321"/>
    <w:rsid w:val="00A33031"/>
    <w:rsid w:val="00A33447"/>
    <w:rsid w:val="00A34359"/>
    <w:rsid w:val="00A343D7"/>
    <w:rsid w:val="00A36D2A"/>
    <w:rsid w:val="00A37006"/>
    <w:rsid w:val="00A3732B"/>
    <w:rsid w:val="00A37FD7"/>
    <w:rsid w:val="00A409F1"/>
    <w:rsid w:val="00A41B6E"/>
    <w:rsid w:val="00A42193"/>
    <w:rsid w:val="00A4450B"/>
    <w:rsid w:val="00A44813"/>
    <w:rsid w:val="00A45D10"/>
    <w:rsid w:val="00A45DDB"/>
    <w:rsid w:val="00A5003A"/>
    <w:rsid w:val="00A506CB"/>
    <w:rsid w:val="00A519A3"/>
    <w:rsid w:val="00A5436C"/>
    <w:rsid w:val="00A54D9B"/>
    <w:rsid w:val="00A60287"/>
    <w:rsid w:val="00A6214E"/>
    <w:rsid w:val="00A63077"/>
    <w:rsid w:val="00A63383"/>
    <w:rsid w:val="00A63F24"/>
    <w:rsid w:val="00A65258"/>
    <w:rsid w:val="00A659C1"/>
    <w:rsid w:val="00A65BF1"/>
    <w:rsid w:val="00A66381"/>
    <w:rsid w:val="00A67A46"/>
    <w:rsid w:val="00A67D1F"/>
    <w:rsid w:val="00A67F9B"/>
    <w:rsid w:val="00A7025C"/>
    <w:rsid w:val="00A70564"/>
    <w:rsid w:val="00A71B4A"/>
    <w:rsid w:val="00A71FB7"/>
    <w:rsid w:val="00A72697"/>
    <w:rsid w:val="00A73284"/>
    <w:rsid w:val="00A734B2"/>
    <w:rsid w:val="00A74400"/>
    <w:rsid w:val="00A74491"/>
    <w:rsid w:val="00A74A4F"/>
    <w:rsid w:val="00A758A5"/>
    <w:rsid w:val="00A75CA7"/>
    <w:rsid w:val="00A75EEE"/>
    <w:rsid w:val="00A76BB3"/>
    <w:rsid w:val="00A770CF"/>
    <w:rsid w:val="00A77E20"/>
    <w:rsid w:val="00A77E56"/>
    <w:rsid w:val="00A82B69"/>
    <w:rsid w:val="00A830D9"/>
    <w:rsid w:val="00A85471"/>
    <w:rsid w:val="00A85687"/>
    <w:rsid w:val="00A85B4C"/>
    <w:rsid w:val="00A85F24"/>
    <w:rsid w:val="00A86C3C"/>
    <w:rsid w:val="00A86D59"/>
    <w:rsid w:val="00A87905"/>
    <w:rsid w:val="00A902AF"/>
    <w:rsid w:val="00A90E6E"/>
    <w:rsid w:val="00A915FD"/>
    <w:rsid w:val="00A9167D"/>
    <w:rsid w:val="00A91D5D"/>
    <w:rsid w:val="00A92E1F"/>
    <w:rsid w:val="00A93854"/>
    <w:rsid w:val="00A94A7F"/>
    <w:rsid w:val="00A963E5"/>
    <w:rsid w:val="00A968B8"/>
    <w:rsid w:val="00A9732B"/>
    <w:rsid w:val="00AA0215"/>
    <w:rsid w:val="00AA0A17"/>
    <w:rsid w:val="00AA27BB"/>
    <w:rsid w:val="00AA3722"/>
    <w:rsid w:val="00AA3EA4"/>
    <w:rsid w:val="00AA452A"/>
    <w:rsid w:val="00AA4EC6"/>
    <w:rsid w:val="00AA4F1E"/>
    <w:rsid w:val="00AA64DE"/>
    <w:rsid w:val="00AA65E2"/>
    <w:rsid w:val="00AB1684"/>
    <w:rsid w:val="00AB1915"/>
    <w:rsid w:val="00AB2331"/>
    <w:rsid w:val="00AB35B3"/>
    <w:rsid w:val="00AB5ED7"/>
    <w:rsid w:val="00AB6CF6"/>
    <w:rsid w:val="00AB7CC6"/>
    <w:rsid w:val="00AC28C2"/>
    <w:rsid w:val="00AC32CE"/>
    <w:rsid w:val="00AC3871"/>
    <w:rsid w:val="00AC6081"/>
    <w:rsid w:val="00AC6646"/>
    <w:rsid w:val="00AC76FE"/>
    <w:rsid w:val="00AD00A3"/>
    <w:rsid w:val="00AD03F5"/>
    <w:rsid w:val="00AD0594"/>
    <w:rsid w:val="00AD1A5D"/>
    <w:rsid w:val="00AD1E02"/>
    <w:rsid w:val="00AD1EBD"/>
    <w:rsid w:val="00AD2578"/>
    <w:rsid w:val="00AD2B0D"/>
    <w:rsid w:val="00AD3401"/>
    <w:rsid w:val="00AD3473"/>
    <w:rsid w:val="00AD3DDD"/>
    <w:rsid w:val="00AD46D4"/>
    <w:rsid w:val="00AE02F3"/>
    <w:rsid w:val="00AE0821"/>
    <w:rsid w:val="00AE1348"/>
    <w:rsid w:val="00AE212B"/>
    <w:rsid w:val="00AE421B"/>
    <w:rsid w:val="00AE55CD"/>
    <w:rsid w:val="00AE55FC"/>
    <w:rsid w:val="00AF0175"/>
    <w:rsid w:val="00AF01EA"/>
    <w:rsid w:val="00AF08DB"/>
    <w:rsid w:val="00AF16D7"/>
    <w:rsid w:val="00AF3394"/>
    <w:rsid w:val="00AF6DFA"/>
    <w:rsid w:val="00AF7FCA"/>
    <w:rsid w:val="00B00387"/>
    <w:rsid w:val="00B05569"/>
    <w:rsid w:val="00B0605F"/>
    <w:rsid w:val="00B07392"/>
    <w:rsid w:val="00B0780D"/>
    <w:rsid w:val="00B10C45"/>
    <w:rsid w:val="00B112F7"/>
    <w:rsid w:val="00B11E47"/>
    <w:rsid w:val="00B1456A"/>
    <w:rsid w:val="00B1503A"/>
    <w:rsid w:val="00B15557"/>
    <w:rsid w:val="00B15D7D"/>
    <w:rsid w:val="00B16775"/>
    <w:rsid w:val="00B16FCC"/>
    <w:rsid w:val="00B2070C"/>
    <w:rsid w:val="00B20CE5"/>
    <w:rsid w:val="00B2239D"/>
    <w:rsid w:val="00B237FE"/>
    <w:rsid w:val="00B25274"/>
    <w:rsid w:val="00B2538D"/>
    <w:rsid w:val="00B2621E"/>
    <w:rsid w:val="00B26710"/>
    <w:rsid w:val="00B27099"/>
    <w:rsid w:val="00B274E3"/>
    <w:rsid w:val="00B27A0D"/>
    <w:rsid w:val="00B30008"/>
    <w:rsid w:val="00B30871"/>
    <w:rsid w:val="00B3307F"/>
    <w:rsid w:val="00B33184"/>
    <w:rsid w:val="00B33EBE"/>
    <w:rsid w:val="00B34897"/>
    <w:rsid w:val="00B34C3E"/>
    <w:rsid w:val="00B35487"/>
    <w:rsid w:val="00B355D2"/>
    <w:rsid w:val="00B36A88"/>
    <w:rsid w:val="00B40423"/>
    <w:rsid w:val="00B41A94"/>
    <w:rsid w:val="00B42A45"/>
    <w:rsid w:val="00B433D2"/>
    <w:rsid w:val="00B442DF"/>
    <w:rsid w:val="00B446C8"/>
    <w:rsid w:val="00B461EB"/>
    <w:rsid w:val="00B469AB"/>
    <w:rsid w:val="00B46D62"/>
    <w:rsid w:val="00B509F4"/>
    <w:rsid w:val="00B5286C"/>
    <w:rsid w:val="00B55FCD"/>
    <w:rsid w:val="00B601B0"/>
    <w:rsid w:val="00B6032F"/>
    <w:rsid w:val="00B604A4"/>
    <w:rsid w:val="00B6381D"/>
    <w:rsid w:val="00B658AA"/>
    <w:rsid w:val="00B65CE5"/>
    <w:rsid w:val="00B6734E"/>
    <w:rsid w:val="00B67682"/>
    <w:rsid w:val="00B67DB0"/>
    <w:rsid w:val="00B7027C"/>
    <w:rsid w:val="00B71E44"/>
    <w:rsid w:val="00B72081"/>
    <w:rsid w:val="00B7290B"/>
    <w:rsid w:val="00B739C8"/>
    <w:rsid w:val="00B75C14"/>
    <w:rsid w:val="00B75D2D"/>
    <w:rsid w:val="00B81EFC"/>
    <w:rsid w:val="00B83BB4"/>
    <w:rsid w:val="00B87F69"/>
    <w:rsid w:val="00B90464"/>
    <w:rsid w:val="00B909B5"/>
    <w:rsid w:val="00B91066"/>
    <w:rsid w:val="00B9123A"/>
    <w:rsid w:val="00B9128D"/>
    <w:rsid w:val="00B9302C"/>
    <w:rsid w:val="00B93B08"/>
    <w:rsid w:val="00B93EEA"/>
    <w:rsid w:val="00B9469F"/>
    <w:rsid w:val="00B95EC4"/>
    <w:rsid w:val="00B96851"/>
    <w:rsid w:val="00BA0462"/>
    <w:rsid w:val="00BA04AA"/>
    <w:rsid w:val="00BA2EA9"/>
    <w:rsid w:val="00BA39E8"/>
    <w:rsid w:val="00BA3F14"/>
    <w:rsid w:val="00BA4227"/>
    <w:rsid w:val="00BA423E"/>
    <w:rsid w:val="00BA47E3"/>
    <w:rsid w:val="00BA4E28"/>
    <w:rsid w:val="00BA5897"/>
    <w:rsid w:val="00BA6E20"/>
    <w:rsid w:val="00BA7AD5"/>
    <w:rsid w:val="00BB0A0F"/>
    <w:rsid w:val="00BB0EAF"/>
    <w:rsid w:val="00BB143D"/>
    <w:rsid w:val="00BB2B3C"/>
    <w:rsid w:val="00BB34EB"/>
    <w:rsid w:val="00BB3577"/>
    <w:rsid w:val="00BB44F6"/>
    <w:rsid w:val="00BB4673"/>
    <w:rsid w:val="00BB6109"/>
    <w:rsid w:val="00BB619D"/>
    <w:rsid w:val="00BB7305"/>
    <w:rsid w:val="00BB7DB5"/>
    <w:rsid w:val="00BB7DF1"/>
    <w:rsid w:val="00BB7E36"/>
    <w:rsid w:val="00BC02BE"/>
    <w:rsid w:val="00BC116F"/>
    <w:rsid w:val="00BC1811"/>
    <w:rsid w:val="00BC19A2"/>
    <w:rsid w:val="00BC2CDF"/>
    <w:rsid w:val="00BC2F75"/>
    <w:rsid w:val="00BC361E"/>
    <w:rsid w:val="00BC5010"/>
    <w:rsid w:val="00BC5380"/>
    <w:rsid w:val="00BC5FC3"/>
    <w:rsid w:val="00BC6755"/>
    <w:rsid w:val="00BC7F1B"/>
    <w:rsid w:val="00BD435A"/>
    <w:rsid w:val="00BD5CE6"/>
    <w:rsid w:val="00BD7A7C"/>
    <w:rsid w:val="00BD7E23"/>
    <w:rsid w:val="00BE03C9"/>
    <w:rsid w:val="00BE0A04"/>
    <w:rsid w:val="00BE2D92"/>
    <w:rsid w:val="00BE39CB"/>
    <w:rsid w:val="00BE4831"/>
    <w:rsid w:val="00BF0933"/>
    <w:rsid w:val="00BF1527"/>
    <w:rsid w:val="00BF20BF"/>
    <w:rsid w:val="00BF2B02"/>
    <w:rsid w:val="00BF4A59"/>
    <w:rsid w:val="00BF5FA2"/>
    <w:rsid w:val="00BF5FB7"/>
    <w:rsid w:val="00BF6254"/>
    <w:rsid w:val="00BF664A"/>
    <w:rsid w:val="00C000DC"/>
    <w:rsid w:val="00C004A8"/>
    <w:rsid w:val="00C02956"/>
    <w:rsid w:val="00C02EF4"/>
    <w:rsid w:val="00C03AB9"/>
    <w:rsid w:val="00C04690"/>
    <w:rsid w:val="00C103C4"/>
    <w:rsid w:val="00C10D62"/>
    <w:rsid w:val="00C13ED0"/>
    <w:rsid w:val="00C14672"/>
    <w:rsid w:val="00C16A4D"/>
    <w:rsid w:val="00C23382"/>
    <w:rsid w:val="00C23513"/>
    <w:rsid w:val="00C23DF6"/>
    <w:rsid w:val="00C250B7"/>
    <w:rsid w:val="00C25297"/>
    <w:rsid w:val="00C26396"/>
    <w:rsid w:val="00C269B4"/>
    <w:rsid w:val="00C26C0F"/>
    <w:rsid w:val="00C2742E"/>
    <w:rsid w:val="00C31D1C"/>
    <w:rsid w:val="00C32034"/>
    <w:rsid w:val="00C32B87"/>
    <w:rsid w:val="00C346DD"/>
    <w:rsid w:val="00C349E0"/>
    <w:rsid w:val="00C35736"/>
    <w:rsid w:val="00C37008"/>
    <w:rsid w:val="00C37703"/>
    <w:rsid w:val="00C37F4B"/>
    <w:rsid w:val="00C411A0"/>
    <w:rsid w:val="00C41D3E"/>
    <w:rsid w:val="00C42AB8"/>
    <w:rsid w:val="00C42FEC"/>
    <w:rsid w:val="00C4315F"/>
    <w:rsid w:val="00C438C3"/>
    <w:rsid w:val="00C45C3E"/>
    <w:rsid w:val="00C509CE"/>
    <w:rsid w:val="00C52529"/>
    <w:rsid w:val="00C54825"/>
    <w:rsid w:val="00C5590D"/>
    <w:rsid w:val="00C559CF"/>
    <w:rsid w:val="00C55BEF"/>
    <w:rsid w:val="00C5783B"/>
    <w:rsid w:val="00C60FF7"/>
    <w:rsid w:val="00C61DE3"/>
    <w:rsid w:val="00C62039"/>
    <w:rsid w:val="00C621AD"/>
    <w:rsid w:val="00C63BCD"/>
    <w:rsid w:val="00C64535"/>
    <w:rsid w:val="00C64AD3"/>
    <w:rsid w:val="00C650FE"/>
    <w:rsid w:val="00C66338"/>
    <w:rsid w:val="00C676F7"/>
    <w:rsid w:val="00C70196"/>
    <w:rsid w:val="00C70BB5"/>
    <w:rsid w:val="00C70F16"/>
    <w:rsid w:val="00C71BC3"/>
    <w:rsid w:val="00C72D5E"/>
    <w:rsid w:val="00C73807"/>
    <w:rsid w:val="00C73A39"/>
    <w:rsid w:val="00C74171"/>
    <w:rsid w:val="00C749B3"/>
    <w:rsid w:val="00C74D86"/>
    <w:rsid w:val="00C7554E"/>
    <w:rsid w:val="00C776D5"/>
    <w:rsid w:val="00C77792"/>
    <w:rsid w:val="00C808BC"/>
    <w:rsid w:val="00C81D81"/>
    <w:rsid w:val="00C8393A"/>
    <w:rsid w:val="00C840DE"/>
    <w:rsid w:val="00C8466D"/>
    <w:rsid w:val="00C85E94"/>
    <w:rsid w:val="00C8685A"/>
    <w:rsid w:val="00C903B0"/>
    <w:rsid w:val="00C92BD6"/>
    <w:rsid w:val="00C9366B"/>
    <w:rsid w:val="00C93887"/>
    <w:rsid w:val="00C93CB0"/>
    <w:rsid w:val="00C94A4E"/>
    <w:rsid w:val="00C95DE5"/>
    <w:rsid w:val="00C974A3"/>
    <w:rsid w:val="00C975C2"/>
    <w:rsid w:val="00CA0283"/>
    <w:rsid w:val="00CA06C3"/>
    <w:rsid w:val="00CA1FB5"/>
    <w:rsid w:val="00CA231B"/>
    <w:rsid w:val="00CA263E"/>
    <w:rsid w:val="00CA4283"/>
    <w:rsid w:val="00CA6913"/>
    <w:rsid w:val="00CB066F"/>
    <w:rsid w:val="00CB1139"/>
    <w:rsid w:val="00CB1460"/>
    <w:rsid w:val="00CB3F29"/>
    <w:rsid w:val="00CB58A4"/>
    <w:rsid w:val="00CC0AA8"/>
    <w:rsid w:val="00CC0F16"/>
    <w:rsid w:val="00CC1093"/>
    <w:rsid w:val="00CC49DE"/>
    <w:rsid w:val="00CC6E4A"/>
    <w:rsid w:val="00CD004D"/>
    <w:rsid w:val="00CD0873"/>
    <w:rsid w:val="00CD090D"/>
    <w:rsid w:val="00CD0E29"/>
    <w:rsid w:val="00CD2520"/>
    <w:rsid w:val="00CD2CEA"/>
    <w:rsid w:val="00CD43DD"/>
    <w:rsid w:val="00CD5667"/>
    <w:rsid w:val="00CD5C81"/>
    <w:rsid w:val="00CD5FEF"/>
    <w:rsid w:val="00CD7DCD"/>
    <w:rsid w:val="00CE15EA"/>
    <w:rsid w:val="00CE658A"/>
    <w:rsid w:val="00CE6A69"/>
    <w:rsid w:val="00CF0262"/>
    <w:rsid w:val="00CF0BCC"/>
    <w:rsid w:val="00CF13FE"/>
    <w:rsid w:val="00CF2089"/>
    <w:rsid w:val="00CF36DB"/>
    <w:rsid w:val="00CF4ADB"/>
    <w:rsid w:val="00CF521E"/>
    <w:rsid w:val="00CF78BB"/>
    <w:rsid w:val="00CF7BD9"/>
    <w:rsid w:val="00D0106E"/>
    <w:rsid w:val="00D05370"/>
    <w:rsid w:val="00D05639"/>
    <w:rsid w:val="00D05D52"/>
    <w:rsid w:val="00D10EFD"/>
    <w:rsid w:val="00D12CFB"/>
    <w:rsid w:val="00D130B0"/>
    <w:rsid w:val="00D13295"/>
    <w:rsid w:val="00D14A73"/>
    <w:rsid w:val="00D1525C"/>
    <w:rsid w:val="00D160CC"/>
    <w:rsid w:val="00D162C8"/>
    <w:rsid w:val="00D1642F"/>
    <w:rsid w:val="00D17F58"/>
    <w:rsid w:val="00D21347"/>
    <w:rsid w:val="00D220B0"/>
    <w:rsid w:val="00D227B1"/>
    <w:rsid w:val="00D231AC"/>
    <w:rsid w:val="00D23F21"/>
    <w:rsid w:val="00D24E99"/>
    <w:rsid w:val="00D24F31"/>
    <w:rsid w:val="00D25720"/>
    <w:rsid w:val="00D25D66"/>
    <w:rsid w:val="00D309D2"/>
    <w:rsid w:val="00D3340C"/>
    <w:rsid w:val="00D36BC5"/>
    <w:rsid w:val="00D36F10"/>
    <w:rsid w:val="00D37083"/>
    <w:rsid w:val="00D409F1"/>
    <w:rsid w:val="00D41035"/>
    <w:rsid w:val="00D41CB5"/>
    <w:rsid w:val="00D42953"/>
    <w:rsid w:val="00D43404"/>
    <w:rsid w:val="00D45903"/>
    <w:rsid w:val="00D4623E"/>
    <w:rsid w:val="00D46356"/>
    <w:rsid w:val="00D46B47"/>
    <w:rsid w:val="00D50184"/>
    <w:rsid w:val="00D516C3"/>
    <w:rsid w:val="00D524CE"/>
    <w:rsid w:val="00D52BAB"/>
    <w:rsid w:val="00D52EBF"/>
    <w:rsid w:val="00D53B09"/>
    <w:rsid w:val="00D54C8D"/>
    <w:rsid w:val="00D55257"/>
    <w:rsid w:val="00D56283"/>
    <w:rsid w:val="00D60FE8"/>
    <w:rsid w:val="00D638C7"/>
    <w:rsid w:val="00D65AAF"/>
    <w:rsid w:val="00D70275"/>
    <w:rsid w:val="00D703FB"/>
    <w:rsid w:val="00D71445"/>
    <w:rsid w:val="00D737B8"/>
    <w:rsid w:val="00D742E0"/>
    <w:rsid w:val="00D74D3C"/>
    <w:rsid w:val="00D74ED9"/>
    <w:rsid w:val="00D758B6"/>
    <w:rsid w:val="00D7602C"/>
    <w:rsid w:val="00D81BD3"/>
    <w:rsid w:val="00D830DF"/>
    <w:rsid w:val="00D842C8"/>
    <w:rsid w:val="00D84B4B"/>
    <w:rsid w:val="00D8524F"/>
    <w:rsid w:val="00D860D5"/>
    <w:rsid w:val="00D8766A"/>
    <w:rsid w:val="00D87B85"/>
    <w:rsid w:val="00D87FE4"/>
    <w:rsid w:val="00D9042D"/>
    <w:rsid w:val="00D906D9"/>
    <w:rsid w:val="00D93606"/>
    <w:rsid w:val="00D943EA"/>
    <w:rsid w:val="00D94825"/>
    <w:rsid w:val="00D95E73"/>
    <w:rsid w:val="00D97410"/>
    <w:rsid w:val="00D97DD3"/>
    <w:rsid w:val="00DA1038"/>
    <w:rsid w:val="00DA205E"/>
    <w:rsid w:val="00DA2AD8"/>
    <w:rsid w:val="00DA38B9"/>
    <w:rsid w:val="00DA42FB"/>
    <w:rsid w:val="00DA4C14"/>
    <w:rsid w:val="00DA6ECF"/>
    <w:rsid w:val="00DB05F4"/>
    <w:rsid w:val="00DB06C6"/>
    <w:rsid w:val="00DB217D"/>
    <w:rsid w:val="00DB347C"/>
    <w:rsid w:val="00DB4513"/>
    <w:rsid w:val="00DB56EA"/>
    <w:rsid w:val="00DB5760"/>
    <w:rsid w:val="00DB5D6B"/>
    <w:rsid w:val="00DB60B8"/>
    <w:rsid w:val="00DB6243"/>
    <w:rsid w:val="00DB669F"/>
    <w:rsid w:val="00DB77A4"/>
    <w:rsid w:val="00DC1372"/>
    <w:rsid w:val="00DC1B4A"/>
    <w:rsid w:val="00DC2FCE"/>
    <w:rsid w:val="00DC38EA"/>
    <w:rsid w:val="00DC5B07"/>
    <w:rsid w:val="00DC5CCA"/>
    <w:rsid w:val="00DC69D4"/>
    <w:rsid w:val="00DC7069"/>
    <w:rsid w:val="00DC7367"/>
    <w:rsid w:val="00DC75DE"/>
    <w:rsid w:val="00DC7E4B"/>
    <w:rsid w:val="00DD01CB"/>
    <w:rsid w:val="00DD0865"/>
    <w:rsid w:val="00DD09CA"/>
    <w:rsid w:val="00DD0FA2"/>
    <w:rsid w:val="00DD133F"/>
    <w:rsid w:val="00DD3FE9"/>
    <w:rsid w:val="00DD453D"/>
    <w:rsid w:val="00DD5035"/>
    <w:rsid w:val="00DD5BEE"/>
    <w:rsid w:val="00DD6680"/>
    <w:rsid w:val="00DD6927"/>
    <w:rsid w:val="00DD745A"/>
    <w:rsid w:val="00DD75BA"/>
    <w:rsid w:val="00DE0BC3"/>
    <w:rsid w:val="00DE0F8B"/>
    <w:rsid w:val="00DE2F29"/>
    <w:rsid w:val="00DE33D4"/>
    <w:rsid w:val="00DE397E"/>
    <w:rsid w:val="00DE45AD"/>
    <w:rsid w:val="00DE4873"/>
    <w:rsid w:val="00DE4AC1"/>
    <w:rsid w:val="00DE5454"/>
    <w:rsid w:val="00DE58A5"/>
    <w:rsid w:val="00DE5B8E"/>
    <w:rsid w:val="00DE7BF5"/>
    <w:rsid w:val="00DE7F9E"/>
    <w:rsid w:val="00DF3560"/>
    <w:rsid w:val="00DF3FB5"/>
    <w:rsid w:val="00DF71DE"/>
    <w:rsid w:val="00DF7E9D"/>
    <w:rsid w:val="00E01EEB"/>
    <w:rsid w:val="00E02855"/>
    <w:rsid w:val="00E03675"/>
    <w:rsid w:val="00E03E1C"/>
    <w:rsid w:val="00E0705B"/>
    <w:rsid w:val="00E0742C"/>
    <w:rsid w:val="00E100FC"/>
    <w:rsid w:val="00E11032"/>
    <w:rsid w:val="00E11249"/>
    <w:rsid w:val="00E12030"/>
    <w:rsid w:val="00E12239"/>
    <w:rsid w:val="00E124B6"/>
    <w:rsid w:val="00E14A13"/>
    <w:rsid w:val="00E14E7B"/>
    <w:rsid w:val="00E153C8"/>
    <w:rsid w:val="00E1588C"/>
    <w:rsid w:val="00E164CF"/>
    <w:rsid w:val="00E16E62"/>
    <w:rsid w:val="00E21856"/>
    <w:rsid w:val="00E223C3"/>
    <w:rsid w:val="00E23E5B"/>
    <w:rsid w:val="00E257B7"/>
    <w:rsid w:val="00E26D07"/>
    <w:rsid w:val="00E30DC5"/>
    <w:rsid w:val="00E31080"/>
    <w:rsid w:val="00E31DC2"/>
    <w:rsid w:val="00E320BC"/>
    <w:rsid w:val="00E3240C"/>
    <w:rsid w:val="00E32A6C"/>
    <w:rsid w:val="00E32C28"/>
    <w:rsid w:val="00E3392F"/>
    <w:rsid w:val="00E3407B"/>
    <w:rsid w:val="00E34839"/>
    <w:rsid w:val="00E34856"/>
    <w:rsid w:val="00E356BF"/>
    <w:rsid w:val="00E36683"/>
    <w:rsid w:val="00E36AB6"/>
    <w:rsid w:val="00E37164"/>
    <w:rsid w:val="00E37729"/>
    <w:rsid w:val="00E40288"/>
    <w:rsid w:val="00E40778"/>
    <w:rsid w:val="00E40E59"/>
    <w:rsid w:val="00E41457"/>
    <w:rsid w:val="00E4284C"/>
    <w:rsid w:val="00E42BCF"/>
    <w:rsid w:val="00E439D0"/>
    <w:rsid w:val="00E449A8"/>
    <w:rsid w:val="00E449FB"/>
    <w:rsid w:val="00E46735"/>
    <w:rsid w:val="00E5020D"/>
    <w:rsid w:val="00E52027"/>
    <w:rsid w:val="00E533AC"/>
    <w:rsid w:val="00E554C7"/>
    <w:rsid w:val="00E56566"/>
    <w:rsid w:val="00E56F94"/>
    <w:rsid w:val="00E57719"/>
    <w:rsid w:val="00E57945"/>
    <w:rsid w:val="00E57E25"/>
    <w:rsid w:val="00E6145F"/>
    <w:rsid w:val="00E62928"/>
    <w:rsid w:val="00E631B1"/>
    <w:rsid w:val="00E6402A"/>
    <w:rsid w:val="00E64300"/>
    <w:rsid w:val="00E67DA9"/>
    <w:rsid w:val="00E70829"/>
    <w:rsid w:val="00E71673"/>
    <w:rsid w:val="00E718D4"/>
    <w:rsid w:val="00E71C04"/>
    <w:rsid w:val="00E72E52"/>
    <w:rsid w:val="00E73B44"/>
    <w:rsid w:val="00E7760A"/>
    <w:rsid w:val="00E77A08"/>
    <w:rsid w:val="00E802E7"/>
    <w:rsid w:val="00E802E9"/>
    <w:rsid w:val="00E82174"/>
    <w:rsid w:val="00E836D2"/>
    <w:rsid w:val="00E84580"/>
    <w:rsid w:val="00E84EAF"/>
    <w:rsid w:val="00E855E6"/>
    <w:rsid w:val="00E86D57"/>
    <w:rsid w:val="00E86E71"/>
    <w:rsid w:val="00E87D68"/>
    <w:rsid w:val="00E924C7"/>
    <w:rsid w:val="00E92720"/>
    <w:rsid w:val="00E9429A"/>
    <w:rsid w:val="00E94BB8"/>
    <w:rsid w:val="00E954F3"/>
    <w:rsid w:val="00EA184A"/>
    <w:rsid w:val="00EA425D"/>
    <w:rsid w:val="00EA555F"/>
    <w:rsid w:val="00EA5A2C"/>
    <w:rsid w:val="00EA6FFD"/>
    <w:rsid w:val="00EA7E7A"/>
    <w:rsid w:val="00EB141E"/>
    <w:rsid w:val="00EB2602"/>
    <w:rsid w:val="00EB41E9"/>
    <w:rsid w:val="00EB4628"/>
    <w:rsid w:val="00EB4B80"/>
    <w:rsid w:val="00EB5C48"/>
    <w:rsid w:val="00EB5E86"/>
    <w:rsid w:val="00EB618F"/>
    <w:rsid w:val="00EB69BA"/>
    <w:rsid w:val="00EB69C0"/>
    <w:rsid w:val="00EB7425"/>
    <w:rsid w:val="00EB75C3"/>
    <w:rsid w:val="00EC073F"/>
    <w:rsid w:val="00EC1A9A"/>
    <w:rsid w:val="00EC1D4B"/>
    <w:rsid w:val="00EC1F80"/>
    <w:rsid w:val="00EC2193"/>
    <w:rsid w:val="00EC2B80"/>
    <w:rsid w:val="00EC4D28"/>
    <w:rsid w:val="00EC5452"/>
    <w:rsid w:val="00EC5977"/>
    <w:rsid w:val="00EC5F84"/>
    <w:rsid w:val="00EC788D"/>
    <w:rsid w:val="00ED13B7"/>
    <w:rsid w:val="00ED213E"/>
    <w:rsid w:val="00ED3AA0"/>
    <w:rsid w:val="00ED5631"/>
    <w:rsid w:val="00ED5D0A"/>
    <w:rsid w:val="00ED67EA"/>
    <w:rsid w:val="00ED7D5B"/>
    <w:rsid w:val="00ED7EC5"/>
    <w:rsid w:val="00EE00FE"/>
    <w:rsid w:val="00EE0A72"/>
    <w:rsid w:val="00EE0DA6"/>
    <w:rsid w:val="00EE248A"/>
    <w:rsid w:val="00EE2DC8"/>
    <w:rsid w:val="00EE2F33"/>
    <w:rsid w:val="00EE3635"/>
    <w:rsid w:val="00EE42AD"/>
    <w:rsid w:val="00EE60FD"/>
    <w:rsid w:val="00EE6135"/>
    <w:rsid w:val="00EE6AA9"/>
    <w:rsid w:val="00EE6B8C"/>
    <w:rsid w:val="00EE6C14"/>
    <w:rsid w:val="00EF023D"/>
    <w:rsid w:val="00EF169F"/>
    <w:rsid w:val="00EF17D6"/>
    <w:rsid w:val="00EF2797"/>
    <w:rsid w:val="00EF3663"/>
    <w:rsid w:val="00EF40D9"/>
    <w:rsid w:val="00EF4FA7"/>
    <w:rsid w:val="00EF571B"/>
    <w:rsid w:val="00EF74E6"/>
    <w:rsid w:val="00F02188"/>
    <w:rsid w:val="00F02E95"/>
    <w:rsid w:val="00F0384F"/>
    <w:rsid w:val="00F05AC8"/>
    <w:rsid w:val="00F060FA"/>
    <w:rsid w:val="00F06D47"/>
    <w:rsid w:val="00F10999"/>
    <w:rsid w:val="00F10E99"/>
    <w:rsid w:val="00F10F43"/>
    <w:rsid w:val="00F12C02"/>
    <w:rsid w:val="00F135E8"/>
    <w:rsid w:val="00F14A17"/>
    <w:rsid w:val="00F15430"/>
    <w:rsid w:val="00F17B4B"/>
    <w:rsid w:val="00F2225F"/>
    <w:rsid w:val="00F22D26"/>
    <w:rsid w:val="00F246FC"/>
    <w:rsid w:val="00F248E9"/>
    <w:rsid w:val="00F25A5F"/>
    <w:rsid w:val="00F30088"/>
    <w:rsid w:val="00F31457"/>
    <w:rsid w:val="00F324A9"/>
    <w:rsid w:val="00F329E3"/>
    <w:rsid w:val="00F330BE"/>
    <w:rsid w:val="00F33BCA"/>
    <w:rsid w:val="00F367BF"/>
    <w:rsid w:val="00F37AE2"/>
    <w:rsid w:val="00F37AE8"/>
    <w:rsid w:val="00F37E56"/>
    <w:rsid w:val="00F40A02"/>
    <w:rsid w:val="00F426A2"/>
    <w:rsid w:val="00F42765"/>
    <w:rsid w:val="00F42788"/>
    <w:rsid w:val="00F44BBF"/>
    <w:rsid w:val="00F473AA"/>
    <w:rsid w:val="00F50B6D"/>
    <w:rsid w:val="00F51789"/>
    <w:rsid w:val="00F51991"/>
    <w:rsid w:val="00F54F33"/>
    <w:rsid w:val="00F55017"/>
    <w:rsid w:val="00F5508D"/>
    <w:rsid w:val="00F55B4E"/>
    <w:rsid w:val="00F55C56"/>
    <w:rsid w:val="00F55E33"/>
    <w:rsid w:val="00F564E5"/>
    <w:rsid w:val="00F56500"/>
    <w:rsid w:val="00F56D18"/>
    <w:rsid w:val="00F5744D"/>
    <w:rsid w:val="00F578CA"/>
    <w:rsid w:val="00F57E08"/>
    <w:rsid w:val="00F60386"/>
    <w:rsid w:val="00F60772"/>
    <w:rsid w:val="00F613DA"/>
    <w:rsid w:val="00F621A4"/>
    <w:rsid w:val="00F6282B"/>
    <w:rsid w:val="00F628D5"/>
    <w:rsid w:val="00F6325E"/>
    <w:rsid w:val="00F63712"/>
    <w:rsid w:val="00F6446B"/>
    <w:rsid w:val="00F65076"/>
    <w:rsid w:val="00F653E1"/>
    <w:rsid w:val="00F658F8"/>
    <w:rsid w:val="00F65905"/>
    <w:rsid w:val="00F65B5A"/>
    <w:rsid w:val="00F65E72"/>
    <w:rsid w:val="00F66613"/>
    <w:rsid w:val="00F67B30"/>
    <w:rsid w:val="00F70678"/>
    <w:rsid w:val="00F706C8"/>
    <w:rsid w:val="00F70B29"/>
    <w:rsid w:val="00F7167D"/>
    <w:rsid w:val="00F7188B"/>
    <w:rsid w:val="00F71EE1"/>
    <w:rsid w:val="00F72A61"/>
    <w:rsid w:val="00F72E17"/>
    <w:rsid w:val="00F72FC1"/>
    <w:rsid w:val="00F735A1"/>
    <w:rsid w:val="00F73827"/>
    <w:rsid w:val="00F769CA"/>
    <w:rsid w:val="00F76FE8"/>
    <w:rsid w:val="00F77924"/>
    <w:rsid w:val="00F80275"/>
    <w:rsid w:val="00F80BBE"/>
    <w:rsid w:val="00F81D00"/>
    <w:rsid w:val="00F8227A"/>
    <w:rsid w:val="00F832F7"/>
    <w:rsid w:val="00F84987"/>
    <w:rsid w:val="00F85DD0"/>
    <w:rsid w:val="00F86A3C"/>
    <w:rsid w:val="00F873B1"/>
    <w:rsid w:val="00F87CCC"/>
    <w:rsid w:val="00F925A0"/>
    <w:rsid w:val="00F93638"/>
    <w:rsid w:val="00F936C0"/>
    <w:rsid w:val="00F9456D"/>
    <w:rsid w:val="00F94A3A"/>
    <w:rsid w:val="00F95C47"/>
    <w:rsid w:val="00F95FA5"/>
    <w:rsid w:val="00F9687A"/>
    <w:rsid w:val="00F97807"/>
    <w:rsid w:val="00FA0C07"/>
    <w:rsid w:val="00FA1551"/>
    <w:rsid w:val="00FA2700"/>
    <w:rsid w:val="00FA2B62"/>
    <w:rsid w:val="00FA2E4A"/>
    <w:rsid w:val="00FA57D7"/>
    <w:rsid w:val="00FA5E56"/>
    <w:rsid w:val="00FA6385"/>
    <w:rsid w:val="00FA7834"/>
    <w:rsid w:val="00FB14AC"/>
    <w:rsid w:val="00FB14C0"/>
    <w:rsid w:val="00FB1C1B"/>
    <w:rsid w:val="00FB3D97"/>
    <w:rsid w:val="00FB4233"/>
    <w:rsid w:val="00FB4796"/>
    <w:rsid w:val="00FB4903"/>
    <w:rsid w:val="00FB59FA"/>
    <w:rsid w:val="00FB76EA"/>
    <w:rsid w:val="00FB7F84"/>
    <w:rsid w:val="00FC13D3"/>
    <w:rsid w:val="00FC1C9B"/>
    <w:rsid w:val="00FC4ACA"/>
    <w:rsid w:val="00FC6E6E"/>
    <w:rsid w:val="00FC7556"/>
    <w:rsid w:val="00FC79F4"/>
    <w:rsid w:val="00FD01E1"/>
    <w:rsid w:val="00FD23AB"/>
    <w:rsid w:val="00FD3777"/>
    <w:rsid w:val="00FD4338"/>
    <w:rsid w:val="00FD4452"/>
    <w:rsid w:val="00FD4639"/>
    <w:rsid w:val="00FD76F4"/>
    <w:rsid w:val="00FD7D2E"/>
    <w:rsid w:val="00FD7D71"/>
    <w:rsid w:val="00FE0C51"/>
    <w:rsid w:val="00FE2241"/>
    <w:rsid w:val="00FE267F"/>
    <w:rsid w:val="00FE2C15"/>
    <w:rsid w:val="00FE3501"/>
    <w:rsid w:val="00FE391B"/>
    <w:rsid w:val="00FE40BC"/>
    <w:rsid w:val="00FE51B2"/>
    <w:rsid w:val="00FE548E"/>
    <w:rsid w:val="00FF0FEE"/>
    <w:rsid w:val="00FF21AE"/>
    <w:rsid w:val="00FF28E0"/>
    <w:rsid w:val="00FF2DBE"/>
    <w:rsid w:val="00FF3118"/>
    <w:rsid w:val="00FF3B04"/>
    <w:rsid w:val="00FF3D22"/>
    <w:rsid w:val="00FF448B"/>
    <w:rsid w:val="00FF4598"/>
    <w:rsid w:val="00FF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F0F2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146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427EF"/>
    <w:rPr>
      <w:rFonts w:asciiTheme="minorHAnsi" w:hAnsiTheme="minorHAnsi" w:cstheme="minorBidi"/>
    </w:rPr>
  </w:style>
  <w:style w:type="character" w:customStyle="1" w:styleId="FootnoteTextChar">
    <w:name w:val="Footnote Text Char"/>
    <w:basedOn w:val="DefaultParagraphFont"/>
    <w:link w:val="FootnoteText"/>
    <w:uiPriority w:val="99"/>
    <w:rsid w:val="006427EF"/>
  </w:style>
  <w:style w:type="character" w:styleId="FootnoteReference">
    <w:name w:val="footnote reference"/>
    <w:basedOn w:val="DefaultParagraphFont"/>
    <w:uiPriority w:val="99"/>
    <w:unhideWhenUsed/>
    <w:rsid w:val="006427EF"/>
    <w:rPr>
      <w:vertAlign w:val="superscript"/>
    </w:rPr>
  </w:style>
  <w:style w:type="paragraph" w:styleId="Footer">
    <w:name w:val="footer"/>
    <w:basedOn w:val="Normal"/>
    <w:link w:val="FooterChar"/>
    <w:uiPriority w:val="99"/>
    <w:unhideWhenUsed/>
    <w:rsid w:val="00E631B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631B1"/>
  </w:style>
  <w:style w:type="character" w:styleId="PageNumber">
    <w:name w:val="page number"/>
    <w:basedOn w:val="DefaultParagraphFont"/>
    <w:uiPriority w:val="99"/>
    <w:semiHidden/>
    <w:unhideWhenUsed/>
    <w:rsid w:val="00E631B1"/>
  </w:style>
  <w:style w:type="paragraph" w:styleId="ListParagraph">
    <w:name w:val="List Paragraph"/>
    <w:basedOn w:val="Normal"/>
    <w:uiPriority w:val="34"/>
    <w:qFormat/>
    <w:rsid w:val="002A7BE0"/>
    <w:pPr>
      <w:ind w:left="720"/>
      <w:contextualSpacing/>
    </w:pPr>
    <w:rPr>
      <w:rFonts w:asciiTheme="minorHAnsi" w:hAnsiTheme="minorHAnsi" w:cstheme="minorBidi"/>
    </w:rPr>
  </w:style>
  <w:style w:type="character" w:styleId="Hyperlink">
    <w:name w:val="Hyperlink"/>
    <w:basedOn w:val="DefaultParagraphFont"/>
    <w:uiPriority w:val="99"/>
    <w:unhideWhenUsed/>
    <w:rsid w:val="00EF023D"/>
    <w:rPr>
      <w:color w:val="0000FF"/>
      <w:u w:val="single"/>
    </w:rPr>
  </w:style>
  <w:style w:type="character" w:styleId="HTMLCite">
    <w:name w:val="HTML Cite"/>
    <w:basedOn w:val="DefaultParagraphFont"/>
    <w:uiPriority w:val="99"/>
    <w:semiHidden/>
    <w:unhideWhenUsed/>
    <w:rsid w:val="00472510"/>
    <w:rPr>
      <w:i/>
      <w:iCs/>
    </w:rPr>
  </w:style>
  <w:style w:type="character" w:styleId="Strong">
    <w:name w:val="Strong"/>
    <w:basedOn w:val="DefaultParagraphFont"/>
    <w:uiPriority w:val="22"/>
    <w:qFormat/>
    <w:rsid w:val="00F330BE"/>
    <w:rPr>
      <w:b/>
      <w:bCs/>
    </w:rPr>
  </w:style>
  <w:style w:type="paragraph" w:styleId="NormalWeb">
    <w:name w:val="Normal (Web)"/>
    <w:basedOn w:val="Normal"/>
    <w:uiPriority w:val="99"/>
    <w:unhideWhenUsed/>
    <w:rsid w:val="00F330BE"/>
    <w:pPr>
      <w:spacing w:before="100" w:beforeAutospacing="1" w:after="100" w:afterAutospacing="1"/>
    </w:pPr>
  </w:style>
  <w:style w:type="paragraph" w:styleId="Header">
    <w:name w:val="header"/>
    <w:basedOn w:val="Normal"/>
    <w:link w:val="HeaderChar"/>
    <w:uiPriority w:val="99"/>
    <w:unhideWhenUsed/>
    <w:rsid w:val="001F28DB"/>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F28DB"/>
  </w:style>
  <w:style w:type="character" w:styleId="Emphasis">
    <w:name w:val="Emphasis"/>
    <w:basedOn w:val="DefaultParagraphFont"/>
    <w:uiPriority w:val="20"/>
    <w:qFormat/>
    <w:rsid w:val="00E554C7"/>
    <w:rPr>
      <w:i/>
      <w:iCs/>
    </w:rPr>
  </w:style>
  <w:style w:type="character" w:customStyle="1" w:styleId="scaps">
    <w:name w:val="scaps"/>
    <w:basedOn w:val="DefaultParagraphFont"/>
    <w:rsid w:val="003A17AB"/>
  </w:style>
  <w:style w:type="character" w:styleId="FollowedHyperlink">
    <w:name w:val="FollowedHyperlink"/>
    <w:basedOn w:val="DefaultParagraphFont"/>
    <w:uiPriority w:val="99"/>
    <w:semiHidden/>
    <w:unhideWhenUsed/>
    <w:rsid w:val="00A973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299">
      <w:bodyDiv w:val="1"/>
      <w:marLeft w:val="0"/>
      <w:marRight w:val="0"/>
      <w:marTop w:val="0"/>
      <w:marBottom w:val="0"/>
      <w:divBdr>
        <w:top w:val="none" w:sz="0" w:space="0" w:color="auto"/>
        <w:left w:val="none" w:sz="0" w:space="0" w:color="auto"/>
        <w:bottom w:val="none" w:sz="0" w:space="0" w:color="auto"/>
        <w:right w:val="none" w:sz="0" w:space="0" w:color="auto"/>
      </w:divBdr>
    </w:div>
    <w:div w:id="85999202">
      <w:bodyDiv w:val="1"/>
      <w:marLeft w:val="0"/>
      <w:marRight w:val="0"/>
      <w:marTop w:val="0"/>
      <w:marBottom w:val="0"/>
      <w:divBdr>
        <w:top w:val="none" w:sz="0" w:space="0" w:color="auto"/>
        <w:left w:val="none" w:sz="0" w:space="0" w:color="auto"/>
        <w:bottom w:val="none" w:sz="0" w:space="0" w:color="auto"/>
        <w:right w:val="none" w:sz="0" w:space="0" w:color="auto"/>
      </w:divBdr>
    </w:div>
    <w:div w:id="138424619">
      <w:bodyDiv w:val="1"/>
      <w:marLeft w:val="0"/>
      <w:marRight w:val="0"/>
      <w:marTop w:val="0"/>
      <w:marBottom w:val="0"/>
      <w:divBdr>
        <w:top w:val="none" w:sz="0" w:space="0" w:color="auto"/>
        <w:left w:val="none" w:sz="0" w:space="0" w:color="auto"/>
        <w:bottom w:val="none" w:sz="0" w:space="0" w:color="auto"/>
        <w:right w:val="none" w:sz="0" w:space="0" w:color="auto"/>
      </w:divBdr>
    </w:div>
    <w:div w:id="148787312">
      <w:bodyDiv w:val="1"/>
      <w:marLeft w:val="0"/>
      <w:marRight w:val="0"/>
      <w:marTop w:val="0"/>
      <w:marBottom w:val="0"/>
      <w:divBdr>
        <w:top w:val="none" w:sz="0" w:space="0" w:color="auto"/>
        <w:left w:val="none" w:sz="0" w:space="0" w:color="auto"/>
        <w:bottom w:val="none" w:sz="0" w:space="0" w:color="auto"/>
        <w:right w:val="none" w:sz="0" w:space="0" w:color="auto"/>
      </w:divBdr>
    </w:div>
    <w:div w:id="236744569">
      <w:bodyDiv w:val="1"/>
      <w:marLeft w:val="0"/>
      <w:marRight w:val="0"/>
      <w:marTop w:val="0"/>
      <w:marBottom w:val="0"/>
      <w:divBdr>
        <w:top w:val="none" w:sz="0" w:space="0" w:color="auto"/>
        <w:left w:val="none" w:sz="0" w:space="0" w:color="auto"/>
        <w:bottom w:val="none" w:sz="0" w:space="0" w:color="auto"/>
        <w:right w:val="none" w:sz="0" w:space="0" w:color="auto"/>
      </w:divBdr>
    </w:div>
    <w:div w:id="254746141">
      <w:bodyDiv w:val="1"/>
      <w:marLeft w:val="0"/>
      <w:marRight w:val="0"/>
      <w:marTop w:val="0"/>
      <w:marBottom w:val="0"/>
      <w:divBdr>
        <w:top w:val="none" w:sz="0" w:space="0" w:color="auto"/>
        <w:left w:val="none" w:sz="0" w:space="0" w:color="auto"/>
        <w:bottom w:val="none" w:sz="0" w:space="0" w:color="auto"/>
        <w:right w:val="none" w:sz="0" w:space="0" w:color="auto"/>
      </w:divBdr>
    </w:div>
    <w:div w:id="273487852">
      <w:bodyDiv w:val="1"/>
      <w:marLeft w:val="0"/>
      <w:marRight w:val="0"/>
      <w:marTop w:val="0"/>
      <w:marBottom w:val="0"/>
      <w:divBdr>
        <w:top w:val="none" w:sz="0" w:space="0" w:color="auto"/>
        <w:left w:val="none" w:sz="0" w:space="0" w:color="auto"/>
        <w:bottom w:val="none" w:sz="0" w:space="0" w:color="auto"/>
        <w:right w:val="none" w:sz="0" w:space="0" w:color="auto"/>
      </w:divBdr>
    </w:div>
    <w:div w:id="297148024">
      <w:bodyDiv w:val="1"/>
      <w:marLeft w:val="0"/>
      <w:marRight w:val="0"/>
      <w:marTop w:val="0"/>
      <w:marBottom w:val="0"/>
      <w:divBdr>
        <w:top w:val="none" w:sz="0" w:space="0" w:color="auto"/>
        <w:left w:val="none" w:sz="0" w:space="0" w:color="auto"/>
        <w:bottom w:val="none" w:sz="0" w:space="0" w:color="auto"/>
        <w:right w:val="none" w:sz="0" w:space="0" w:color="auto"/>
      </w:divBdr>
    </w:div>
    <w:div w:id="304046509">
      <w:bodyDiv w:val="1"/>
      <w:marLeft w:val="0"/>
      <w:marRight w:val="0"/>
      <w:marTop w:val="0"/>
      <w:marBottom w:val="0"/>
      <w:divBdr>
        <w:top w:val="none" w:sz="0" w:space="0" w:color="auto"/>
        <w:left w:val="none" w:sz="0" w:space="0" w:color="auto"/>
        <w:bottom w:val="none" w:sz="0" w:space="0" w:color="auto"/>
        <w:right w:val="none" w:sz="0" w:space="0" w:color="auto"/>
      </w:divBdr>
    </w:div>
    <w:div w:id="315499926">
      <w:bodyDiv w:val="1"/>
      <w:marLeft w:val="0"/>
      <w:marRight w:val="0"/>
      <w:marTop w:val="0"/>
      <w:marBottom w:val="0"/>
      <w:divBdr>
        <w:top w:val="none" w:sz="0" w:space="0" w:color="auto"/>
        <w:left w:val="none" w:sz="0" w:space="0" w:color="auto"/>
        <w:bottom w:val="none" w:sz="0" w:space="0" w:color="auto"/>
        <w:right w:val="none" w:sz="0" w:space="0" w:color="auto"/>
      </w:divBdr>
    </w:div>
    <w:div w:id="317809884">
      <w:bodyDiv w:val="1"/>
      <w:marLeft w:val="0"/>
      <w:marRight w:val="0"/>
      <w:marTop w:val="0"/>
      <w:marBottom w:val="0"/>
      <w:divBdr>
        <w:top w:val="none" w:sz="0" w:space="0" w:color="auto"/>
        <w:left w:val="none" w:sz="0" w:space="0" w:color="auto"/>
        <w:bottom w:val="none" w:sz="0" w:space="0" w:color="auto"/>
        <w:right w:val="none" w:sz="0" w:space="0" w:color="auto"/>
      </w:divBdr>
    </w:div>
    <w:div w:id="342170332">
      <w:bodyDiv w:val="1"/>
      <w:marLeft w:val="0"/>
      <w:marRight w:val="0"/>
      <w:marTop w:val="0"/>
      <w:marBottom w:val="0"/>
      <w:divBdr>
        <w:top w:val="none" w:sz="0" w:space="0" w:color="auto"/>
        <w:left w:val="none" w:sz="0" w:space="0" w:color="auto"/>
        <w:bottom w:val="none" w:sz="0" w:space="0" w:color="auto"/>
        <w:right w:val="none" w:sz="0" w:space="0" w:color="auto"/>
      </w:divBdr>
    </w:div>
    <w:div w:id="347757041">
      <w:bodyDiv w:val="1"/>
      <w:marLeft w:val="0"/>
      <w:marRight w:val="0"/>
      <w:marTop w:val="0"/>
      <w:marBottom w:val="0"/>
      <w:divBdr>
        <w:top w:val="none" w:sz="0" w:space="0" w:color="auto"/>
        <w:left w:val="none" w:sz="0" w:space="0" w:color="auto"/>
        <w:bottom w:val="none" w:sz="0" w:space="0" w:color="auto"/>
        <w:right w:val="none" w:sz="0" w:space="0" w:color="auto"/>
      </w:divBdr>
    </w:div>
    <w:div w:id="402987807">
      <w:bodyDiv w:val="1"/>
      <w:marLeft w:val="0"/>
      <w:marRight w:val="0"/>
      <w:marTop w:val="0"/>
      <w:marBottom w:val="0"/>
      <w:divBdr>
        <w:top w:val="none" w:sz="0" w:space="0" w:color="auto"/>
        <w:left w:val="none" w:sz="0" w:space="0" w:color="auto"/>
        <w:bottom w:val="none" w:sz="0" w:space="0" w:color="auto"/>
        <w:right w:val="none" w:sz="0" w:space="0" w:color="auto"/>
      </w:divBdr>
    </w:div>
    <w:div w:id="421223258">
      <w:bodyDiv w:val="1"/>
      <w:marLeft w:val="0"/>
      <w:marRight w:val="0"/>
      <w:marTop w:val="0"/>
      <w:marBottom w:val="0"/>
      <w:divBdr>
        <w:top w:val="none" w:sz="0" w:space="0" w:color="auto"/>
        <w:left w:val="none" w:sz="0" w:space="0" w:color="auto"/>
        <w:bottom w:val="none" w:sz="0" w:space="0" w:color="auto"/>
        <w:right w:val="none" w:sz="0" w:space="0" w:color="auto"/>
      </w:divBdr>
    </w:div>
    <w:div w:id="423378447">
      <w:bodyDiv w:val="1"/>
      <w:marLeft w:val="0"/>
      <w:marRight w:val="0"/>
      <w:marTop w:val="0"/>
      <w:marBottom w:val="0"/>
      <w:divBdr>
        <w:top w:val="none" w:sz="0" w:space="0" w:color="auto"/>
        <w:left w:val="none" w:sz="0" w:space="0" w:color="auto"/>
        <w:bottom w:val="none" w:sz="0" w:space="0" w:color="auto"/>
        <w:right w:val="none" w:sz="0" w:space="0" w:color="auto"/>
      </w:divBdr>
    </w:div>
    <w:div w:id="430470955">
      <w:bodyDiv w:val="1"/>
      <w:marLeft w:val="0"/>
      <w:marRight w:val="0"/>
      <w:marTop w:val="0"/>
      <w:marBottom w:val="0"/>
      <w:divBdr>
        <w:top w:val="none" w:sz="0" w:space="0" w:color="auto"/>
        <w:left w:val="none" w:sz="0" w:space="0" w:color="auto"/>
        <w:bottom w:val="none" w:sz="0" w:space="0" w:color="auto"/>
        <w:right w:val="none" w:sz="0" w:space="0" w:color="auto"/>
      </w:divBdr>
    </w:div>
    <w:div w:id="438064922">
      <w:bodyDiv w:val="1"/>
      <w:marLeft w:val="0"/>
      <w:marRight w:val="0"/>
      <w:marTop w:val="0"/>
      <w:marBottom w:val="0"/>
      <w:divBdr>
        <w:top w:val="none" w:sz="0" w:space="0" w:color="auto"/>
        <w:left w:val="none" w:sz="0" w:space="0" w:color="auto"/>
        <w:bottom w:val="none" w:sz="0" w:space="0" w:color="auto"/>
        <w:right w:val="none" w:sz="0" w:space="0" w:color="auto"/>
      </w:divBdr>
    </w:div>
    <w:div w:id="462508058">
      <w:bodyDiv w:val="1"/>
      <w:marLeft w:val="0"/>
      <w:marRight w:val="0"/>
      <w:marTop w:val="0"/>
      <w:marBottom w:val="0"/>
      <w:divBdr>
        <w:top w:val="none" w:sz="0" w:space="0" w:color="auto"/>
        <w:left w:val="none" w:sz="0" w:space="0" w:color="auto"/>
        <w:bottom w:val="none" w:sz="0" w:space="0" w:color="auto"/>
        <w:right w:val="none" w:sz="0" w:space="0" w:color="auto"/>
      </w:divBdr>
      <w:divsChild>
        <w:div w:id="1450902850">
          <w:marLeft w:val="0"/>
          <w:marRight w:val="0"/>
          <w:marTop w:val="0"/>
          <w:marBottom w:val="0"/>
          <w:divBdr>
            <w:top w:val="none" w:sz="0" w:space="0" w:color="auto"/>
            <w:left w:val="none" w:sz="0" w:space="0" w:color="auto"/>
            <w:bottom w:val="none" w:sz="0" w:space="0" w:color="auto"/>
            <w:right w:val="none" w:sz="0" w:space="0" w:color="auto"/>
          </w:divBdr>
        </w:div>
      </w:divsChild>
    </w:div>
    <w:div w:id="486898686">
      <w:bodyDiv w:val="1"/>
      <w:marLeft w:val="0"/>
      <w:marRight w:val="0"/>
      <w:marTop w:val="0"/>
      <w:marBottom w:val="0"/>
      <w:divBdr>
        <w:top w:val="none" w:sz="0" w:space="0" w:color="auto"/>
        <w:left w:val="none" w:sz="0" w:space="0" w:color="auto"/>
        <w:bottom w:val="none" w:sz="0" w:space="0" w:color="auto"/>
        <w:right w:val="none" w:sz="0" w:space="0" w:color="auto"/>
      </w:divBdr>
      <w:divsChild>
        <w:div w:id="100224843">
          <w:marLeft w:val="0"/>
          <w:marRight w:val="0"/>
          <w:marTop w:val="0"/>
          <w:marBottom w:val="0"/>
          <w:divBdr>
            <w:top w:val="none" w:sz="0" w:space="0" w:color="auto"/>
            <w:left w:val="none" w:sz="0" w:space="0" w:color="auto"/>
            <w:bottom w:val="none" w:sz="0" w:space="0" w:color="auto"/>
            <w:right w:val="none" w:sz="0" w:space="0" w:color="auto"/>
          </w:divBdr>
        </w:div>
      </w:divsChild>
    </w:div>
    <w:div w:id="500435151">
      <w:bodyDiv w:val="1"/>
      <w:marLeft w:val="0"/>
      <w:marRight w:val="0"/>
      <w:marTop w:val="0"/>
      <w:marBottom w:val="0"/>
      <w:divBdr>
        <w:top w:val="none" w:sz="0" w:space="0" w:color="auto"/>
        <w:left w:val="none" w:sz="0" w:space="0" w:color="auto"/>
        <w:bottom w:val="none" w:sz="0" w:space="0" w:color="auto"/>
        <w:right w:val="none" w:sz="0" w:space="0" w:color="auto"/>
      </w:divBdr>
    </w:div>
    <w:div w:id="507796700">
      <w:bodyDiv w:val="1"/>
      <w:marLeft w:val="0"/>
      <w:marRight w:val="0"/>
      <w:marTop w:val="0"/>
      <w:marBottom w:val="0"/>
      <w:divBdr>
        <w:top w:val="none" w:sz="0" w:space="0" w:color="auto"/>
        <w:left w:val="none" w:sz="0" w:space="0" w:color="auto"/>
        <w:bottom w:val="none" w:sz="0" w:space="0" w:color="auto"/>
        <w:right w:val="none" w:sz="0" w:space="0" w:color="auto"/>
      </w:divBdr>
    </w:div>
    <w:div w:id="523786580">
      <w:bodyDiv w:val="1"/>
      <w:marLeft w:val="0"/>
      <w:marRight w:val="0"/>
      <w:marTop w:val="0"/>
      <w:marBottom w:val="0"/>
      <w:divBdr>
        <w:top w:val="none" w:sz="0" w:space="0" w:color="auto"/>
        <w:left w:val="none" w:sz="0" w:space="0" w:color="auto"/>
        <w:bottom w:val="none" w:sz="0" w:space="0" w:color="auto"/>
        <w:right w:val="none" w:sz="0" w:space="0" w:color="auto"/>
      </w:divBdr>
    </w:div>
    <w:div w:id="580259202">
      <w:bodyDiv w:val="1"/>
      <w:marLeft w:val="0"/>
      <w:marRight w:val="0"/>
      <w:marTop w:val="0"/>
      <w:marBottom w:val="0"/>
      <w:divBdr>
        <w:top w:val="none" w:sz="0" w:space="0" w:color="auto"/>
        <w:left w:val="none" w:sz="0" w:space="0" w:color="auto"/>
        <w:bottom w:val="none" w:sz="0" w:space="0" w:color="auto"/>
        <w:right w:val="none" w:sz="0" w:space="0" w:color="auto"/>
      </w:divBdr>
    </w:div>
    <w:div w:id="791943581">
      <w:bodyDiv w:val="1"/>
      <w:marLeft w:val="0"/>
      <w:marRight w:val="0"/>
      <w:marTop w:val="0"/>
      <w:marBottom w:val="0"/>
      <w:divBdr>
        <w:top w:val="none" w:sz="0" w:space="0" w:color="auto"/>
        <w:left w:val="none" w:sz="0" w:space="0" w:color="auto"/>
        <w:bottom w:val="none" w:sz="0" w:space="0" w:color="auto"/>
        <w:right w:val="none" w:sz="0" w:space="0" w:color="auto"/>
      </w:divBdr>
    </w:div>
    <w:div w:id="806438863">
      <w:bodyDiv w:val="1"/>
      <w:marLeft w:val="0"/>
      <w:marRight w:val="0"/>
      <w:marTop w:val="0"/>
      <w:marBottom w:val="0"/>
      <w:divBdr>
        <w:top w:val="none" w:sz="0" w:space="0" w:color="auto"/>
        <w:left w:val="none" w:sz="0" w:space="0" w:color="auto"/>
        <w:bottom w:val="none" w:sz="0" w:space="0" w:color="auto"/>
        <w:right w:val="none" w:sz="0" w:space="0" w:color="auto"/>
      </w:divBdr>
    </w:div>
    <w:div w:id="852377726">
      <w:bodyDiv w:val="1"/>
      <w:marLeft w:val="0"/>
      <w:marRight w:val="0"/>
      <w:marTop w:val="0"/>
      <w:marBottom w:val="0"/>
      <w:divBdr>
        <w:top w:val="none" w:sz="0" w:space="0" w:color="auto"/>
        <w:left w:val="none" w:sz="0" w:space="0" w:color="auto"/>
        <w:bottom w:val="none" w:sz="0" w:space="0" w:color="auto"/>
        <w:right w:val="none" w:sz="0" w:space="0" w:color="auto"/>
      </w:divBdr>
    </w:div>
    <w:div w:id="866601402">
      <w:bodyDiv w:val="1"/>
      <w:marLeft w:val="0"/>
      <w:marRight w:val="0"/>
      <w:marTop w:val="0"/>
      <w:marBottom w:val="0"/>
      <w:divBdr>
        <w:top w:val="none" w:sz="0" w:space="0" w:color="auto"/>
        <w:left w:val="none" w:sz="0" w:space="0" w:color="auto"/>
        <w:bottom w:val="none" w:sz="0" w:space="0" w:color="auto"/>
        <w:right w:val="none" w:sz="0" w:space="0" w:color="auto"/>
      </w:divBdr>
    </w:div>
    <w:div w:id="926615003">
      <w:bodyDiv w:val="1"/>
      <w:marLeft w:val="0"/>
      <w:marRight w:val="0"/>
      <w:marTop w:val="0"/>
      <w:marBottom w:val="0"/>
      <w:divBdr>
        <w:top w:val="none" w:sz="0" w:space="0" w:color="auto"/>
        <w:left w:val="none" w:sz="0" w:space="0" w:color="auto"/>
        <w:bottom w:val="none" w:sz="0" w:space="0" w:color="auto"/>
        <w:right w:val="none" w:sz="0" w:space="0" w:color="auto"/>
      </w:divBdr>
    </w:div>
    <w:div w:id="1091583490">
      <w:bodyDiv w:val="1"/>
      <w:marLeft w:val="0"/>
      <w:marRight w:val="0"/>
      <w:marTop w:val="0"/>
      <w:marBottom w:val="0"/>
      <w:divBdr>
        <w:top w:val="none" w:sz="0" w:space="0" w:color="auto"/>
        <w:left w:val="none" w:sz="0" w:space="0" w:color="auto"/>
        <w:bottom w:val="none" w:sz="0" w:space="0" w:color="auto"/>
        <w:right w:val="none" w:sz="0" w:space="0" w:color="auto"/>
      </w:divBdr>
      <w:divsChild>
        <w:div w:id="490217402">
          <w:marLeft w:val="0"/>
          <w:marRight w:val="0"/>
          <w:marTop w:val="0"/>
          <w:marBottom w:val="0"/>
          <w:divBdr>
            <w:top w:val="none" w:sz="0" w:space="0" w:color="auto"/>
            <w:left w:val="none" w:sz="0" w:space="0" w:color="auto"/>
            <w:bottom w:val="none" w:sz="0" w:space="0" w:color="auto"/>
            <w:right w:val="none" w:sz="0" w:space="0" w:color="auto"/>
          </w:divBdr>
        </w:div>
      </w:divsChild>
    </w:div>
    <w:div w:id="1123615250">
      <w:bodyDiv w:val="1"/>
      <w:marLeft w:val="0"/>
      <w:marRight w:val="0"/>
      <w:marTop w:val="0"/>
      <w:marBottom w:val="0"/>
      <w:divBdr>
        <w:top w:val="none" w:sz="0" w:space="0" w:color="auto"/>
        <w:left w:val="none" w:sz="0" w:space="0" w:color="auto"/>
        <w:bottom w:val="none" w:sz="0" w:space="0" w:color="auto"/>
        <w:right w:val="none" w:sz="0" w:space="0" w:color="auto"/>
      </w:divBdr>
    </w:div>
    <w:div w:id="1127623969">
      <w:bodyDiv w:val="1"/>
      <w:marLeft w:val="0"/>
      <w:marRight w:val="0"/>
      <w:marTop w:val="0"/>
      <w:marBottom w:val="0"/>
      <w:divBdr>
        <w:top w:val="none" w:sz="0" w:space="0" w:color="auto"/>
        <w:left w:val="none" w:sz="0" w:space="0" w:color="auto"/>
        <w:bottom w:val="none" w:sz="0" w:space="0" w:color="auto"/>
        <w:right w:val="none" w:sz="0" w:space="0" w:color="auto"/>
      </w:divBdr>
    </w:div>
    <w:div w:id="1162966213">
      <w:bodyDiv w:val="1"/>
      <w:marLeft w:val="0"/>
      <w:marRight w:val="0"/>
      <w:marTop w:val="0"/>
      <w:marBottom w:val="0"/>
      <w:divBdr>
        <w:top w:val="none" w:sz="0" w:space="0" w:color="auto"/>
        <w:left w:val="none" w:sz="0" w:space="0" w:color="auto"/>
        <w:bottom w:val="none" w:sz="0" w:space="0" w:color="auto"/>
        <w:right w:val="none" w:sz="0" w:space="0" w:color="auto"/>
      </w:divBdr>
    </w:div>
    <w:div w:id="1175073078">
      <w:bodyDiv w:val="1"/>
      <w:marLeft w:val="0"/>
      <w:marRight w:val="0"/>
      <w:marTop w:val="0"/>
      <w:marBottom w:val="0"/>
      <w:divBdr>
        <w:top w:val="none" w:sz="0" w:space="0" w:color="auto"/>
        <w:left w:val="none" w:sz="0" w:space="0" w:color="auto"/>
        <w:bottom w:val="none" w:sz="0" w:space="0" w:color="auto"/>
        <w:right w:val="none" w:sz="0" w:space="0" w:color="auto"/>
      </w:divBdr>
    </w:div>
    <w:div w:id="1194347188">
      <w:bodyDiv w:val="1"/>
      <w:marLeft w:val="0"/>
      <w:marRight w:val="0"/>
      <w:marTop w:val="0"/>
      <w:marBottom w:val="0"/>
      <w:divBdr>
        <w:top w:val="none" w:sz="0" w:space="0" w:color="auto"/>
        <w:left w:val="none" w:sz="0" w:space="0" w:color="auto"/>
        <w:bottom w:val="none" w:sz="0" w:space="0" w:color="auto"/>
        <w:right w:val="none" w:sz="0" w:space="0" w:color="auto"/>
      </w:divBdr>
    </w:div>
    <w:div w:id="1195659577">
      <w:bodyDiv w:val="1"/>
      <w:marLeft w:val="0"/>
      <w:marRight w:val="0"/>
      <w:marTop w:val="0"/>
      <w:marBottom w:val="0"/>
      <w:divBdr>
        <w:top w:val="none" w:sz="0" w:space="0" w:color="auto"/>
        <w:left w:val="none" w:sz="0" w:space="0" w:color="auto"/>
        <w:bottom w:val="none" w:sz="0" w:space="0" w:color="auto"/>
        <w:right w:val="none" w:sz="0" w:space="0" w:color="auto"/>
      </w:divBdr>
    </w:div>
    <w:div w:id="1221132869">
      <w:bodyDiv w:val="1"/>
      <w:marLeft w:val="0"/>
      <w:marRight w:val="0"/>
      <w:marTop w:val="0"/>
      <w:marBottom w:val="0"/>
      <w:divBdr>
        <w:top w:val="none" w:sz="0" w:space="0" w:color="auto"/>
        <w:left w:val="none" w:sz="0" w:space="0" w:color="auto"/>
        <w:bottom w:val="none" w:sz="0" w:space="0" w:color="auto"/>
        <w:right w:val="none" w:sz="0" w:space="0" w:color="auto"/>
      </w:divBdr>
    </w:div>
    <w:div w:id="1246262408">
      <w:bodyDiv w:val="1"/>
      <w:marLeft w:val="0"/>
      <w:marRight w:val="0"/>
      <w:marTop w:val="0"/>
      <w:marBottom w:val="0"/>
      <w:divBdr>
        <w:top w:val="none" w:sz="0" w:space="0" w:color="auto"/>
        <w:left w:val="none" w:sz="0" w:space="0" w:color="auto"/>
        <w:bottom w:val="none" w:sz="0" w:space="0" w:color="auto"/>
        <w:right w:val="none" w:sz="0" w:space="0" w:color="auto"/>
      </w:divBdr>
    </w:div>
    <w:div w:id="1338269395">
      <w:bodyDiv w:val="1"/>
      <w:marLeft w:val="0"/>
      <w:marRight w:val="0"/>
      <w:marTop w:val="0"/>
      <w:marBottom w:val="0"/>
      <w:divBdr>
        <w:top w:val="none" w:sz="0" w:space="0" w:color="auto"/>
        <w:left w:val="none" w:sz="0" w:space="0" w:color="auto"/>
        <w:bottom w:val="none" w:sz="0" w:space="0" w:color="auto"/>
        <w:right w:val="none" w:sz="0" w:space="0" w:color="auto"/>
      </w:divBdr>
    </w:div>
    <w:div w:id="1345596468">
      <w:bodyDiv w:val="1"/>
      <w:marLeft w:val="0"/>
      <w:marRight w:val="0"/>
      <w:marTop w:val="0"/>
      <w:marBottom w:val="0"/>
      <w:divBdr>
        <w:top w:val="none" w:sz="0" w:space="0" w:color="auto"/>
        <w:left w:val="none" w:sz="0" w:space="0" w:color="auto"/>
        <w:bottom w:val="none" w:sz="0" w:space="0" w:color="auto"/>
        <w:right w:val="none" w:sz="0" w:space="0" w:color="auto"/>
      </w:divBdr>
    </w:div>
    <w:div w:id="1355034829">
      <w:bodyDiv w:val="1"/>
      <w:marLeft w:val="0"/>
      <w:marRight w:val="0"/>
      <w:marTop w:val="0"/>
      <w:marBottom w:val="0"/>
      <w:divBdr>
        <w:top w:val="none" w:sz="0" w:space="0" w:color="auto"/>
        <w:left w:val="none" w:sz="0" w:space="0" w:color="auto"/>
        <w:bottom w:val="none" w:sz="0" w:space="0" w:color="auto"/>
        <w:right w:val="none" w:sz="0" w:space="0" w:color="auto"/>
      </w:divBdr>
    </w:div>
    <w:div w:id="1461997689">
      <w:bodyDiv w:val="1"/>
      <w:marLeft w:val="0"/>
      <w:marRight w:val="0"/>
      <w:marTop w:val="0"/>
      <w:marBottom w:val="0"/>
      <w:divBdr>
        <w:top w:val="none" w:sz="0" w:space="0" w:color="auto"/>
        <w:left w:val="none" w:sz="0" w:space="0" w:color="auto"/>
        <w:bottom w:val="none" w:sz="0" w:space="0" w:color="auto"/>
        <w:right w:val="none" w:sz="0" w:space="0" w:color="auto"/>
      </w:divBdr>
    </w:div>
    <w:div w:id="1496650577">
      <w:bodyDiv w:val="1"/>
      <w:marLeft w:val="0"/>
      <w:marRight w:val="0"/>
      <w:marTop w:val="0"/>
      <w:marBottom w:val="0"/>
      <w:divBdr>
        <w:top w:val="none" w:sz="0" w:space="0" w:color="auto"/>
        <w:left w:val="none" w:sz="0" w:space="0" w:color="auto"/>
        <w:bottom w:val="none" w:sz="0" w:space="0" w:color="auto"/>
        <w:right w:val="none" w:sz="0" w:space="0" w:color="auto"/>
      </w:divBdr>
    </w:div>
    <w:div w:id="1590313255">
      <w:bodyDiv w:val="1"/>
      <w:marLeft w:val="0"/>
      <w:marRight w:val="0"/>
      <w:marTop w:val="0"/>
      <w:marBottom w:val="0"/>
      <w:divBdr>
        <w:top w:val="none" w:sz="0" w:space="0" w:color="auto"/>
        <w:left w:val="none" w:sz="0" w:space="0" w:color="auto"/>
        <w:bottom w:val="none" w:sz="0" w:space="0" w:color="auto"/>
        <w:right w:val="none" w:sz="0" w:space="0" w:color="auto"/>
      </w:divBdr>
    </w:div>
    <w:div w:id="1611164391">
      <w:bodyDiv w:val="1"/>
      <w:marLeft w:val="0"/>
      <w:marRight w:val="0"/>
      <w:marTop w:val="0"/>
      <w:marBottom w:val="0"/>
      <w:divBdr>
        <w:top w:val="none" w:sz="0" w:space="0" w:color="auto"/>
        <w:left w:val="none" w:sz="0" w:space="0" w:color="auto"/>
        <w:bottom w:val="none" w:sz="0" w:space="0" w:color="auto"/>
        <w:right w:val="none" w:sz="0" w:space="0" w:color="auto"/>
      </w:divBdr>
    </w:div>
    <w:div w:id="1674456314">
      <w:bodyDiv w:val="1"/>
      <w:marLeft w:val="0"/>
      <w:marRight w:val="0"/>
      <w:marTop w:val="0"/>
      <w:marBottom w:val="0"/>
      <w:divBdr>
        <w:top w:val="none" w:sz="0" w:space="0" w:color="auto"/>
        <w:left w:val="none" w:sz="0" w:space="0" w:color="auto"/>
        <w:bottom w:val="none" w:sz="0" w:space="0" w:color="auto"/>
        <w:right w:val="none" w:sz="0" w:space="0" w:color="auto"/>
      </w:divBdr>
    </w:div>
    <w:div w:id="1723023637">
      <w:bodyDiv w:val="1"/>
      <w:marLeft w:val="0"/>
      <w:marRight w:val="0"/>
      <w:marTop w:val="0"/>
      <w:marBottom w:val="0"/>
      <w:divBdr>
        <w:top w:val="none" w:sz="0" w:space="0" w:color="auto"/>
        <w:left w:val="none" w:sz="0" w:space="0" w:color="auto"/>
        <w:bottom w:val="none" w:sz="0" w:space="0" w:color="auto"/>
        <w:right w:val="none" w:sz="0" w:space="0" w:color="auto"/>
      </w:divBdr>
    </w:div>
    <w:div w:id="1809056807">
      <w:bodyDiv w:val="1"/>
      <w:marLeft w:val="0"/>
      <w:marRight w:val="0"/>
      <w:marTop w:val="0"/>
      <w:marBottom w:val="0"/>
      <w:divBdr>
        <w:top w:val="none" w:sz="0" w:space="0" w:color="auto"/>
        <w:left w:val="none" w:sz="0" w:space="0" w:color="auto"/>
        <w:bottom w:val="none" w:sz="0" w:space="0" w:color="auto"/>
        <w:right w:val="none" w:sz="0" w:space="0" w:color="auto"/>
      </w:divBdr>
    </w:div>
    <w:div w:id="1812667872">
      <w:bodyDiv w:val="1"/>
      <w:marLeft w:val="0"/>
      <w:marRight w:val="0"/>
      <w:marTop w:val="0"/>
      <w:marBottom w:val="0"/>
      <w:divBdr>
        <w:top w:val="none" w:sz="0" w:space="0" w:color="auto"/>
        <w:left w:val="none" w:sz="0" w:space="0" w:color="auto"/>
        <w:bottom w:val="none" w:sz="0" w:space="0" w:color="auto"/>
        <w:right w:val="none" w:sz="0" w:space="0" w:color="auto"/>
      </w:divBdr>
    </w:div>
    <w:div w:id="1860122071">
      <w:bodyDiv w:val="1"/>
      <w:marLeft w:val="0"/>
      <w:marRight w:val="0"/>
      <w:marTop w:val="0"/>
      <w:marBottom w:val="0"/>
      <w:divBdr>
        <w:top w:val="none" w:sz="0" w:space="0" w:color="auto"/>
        <w:left w:val="none" w:sz="0" w:space="0" w:color="auto"/>
        <w:bottom w:val="none" w:sz="0" w:space="0" w:color="auto"/>
        <w:right w:val="none" w:sz="0" w:space="0" w:color="auto"/>
      </w:divBdr>
    </w:div>
    <w:div w:id="1888561695">
      <w:bodyDiv w:val="1"/>
      <w:marLeft w:val="0"/>
      <w:marRight w:val="0"/>
      <w:marTop w:val="0"/>
      <w:marBottom w:val="0"/>
      <w:divBdr>
        <w:top w:val="none" w:sz="0" w:space="0" w:color="auto"/>
        <w:left w:val="none" w:sz="0" w:space="0" w:color="auto"/>
        <w:bottom w:val="none" w:sz="0" w:space="0" w:color="auto"/>
        <w:right w:val="none" w:sz="0" w:space="0" w:color="auto"/>
      </w:divBdr>
    </w:div>
    <w:div w:id="1964310534">
      <w:bodyDiv w:val="1"/>
      <w:marLeft w:val="0"/>
      <w:marRight w:val="0"/>
      <w:marTop w:val="0"/>
      <w:marBottom w:val="0"/>
      <w:divBdr>
        <w:top w:val="none" w:sz="0" w:space="0" w:color="auto"/>
        <w:left w:val="none" w:sz="0" w:space="0" w:color="auto"/>
        <w:bottom w:val="none" w:sz="0" w:space="0" w:color="auto"/>
        <w:right w:val="none" w:sz="0" w:space="0" w:color="auto"/>
      </w:divBdr>
    </w:div>
    <w:div w:id="1969621759">
      <w:bodyDiv w:val="1"/>
      <w:marLeft w:val="0"/>
      <w:marRight w:val="0"/>
      <w:marTop w:val="0"/>
      <w:marBottom w:val="0"/>
      <w:divBdr>
        <w:top w:val="none" w:sz="0" w:space="0" w:color="auto"/>
        <w:left w:val="none" w:sz="0" w:space="0" w:color="auto"/>
        <w:bottom w:val="none" w:sz="0" w:space="0" w:color="auto"/>
        <w:right w:val="none" w:sz="0" w:space="0" w:color="auto"/>
      </w:divBdr>
    </w:div>
    <w:div w:id="1976597394">
      <w:bodyDiv w:val="1"/>
      <w:marLeft w:val="0"/>
      <w:marRight w:val="0"/>
      <w:marTop w:val="0"/>
      <w:marBottom w:val="0"/>
      <w:divBdr>
        <w:top w:val="none" w:sz="0" w:space="0" w:color="auto"/>
        <w:left w:val="none" w:sz="0" w:space="0" w:color="auto"/>
        <w:bottom w:val="none" w:sz="0" w:space="0" w:color="auto"/>
        <w:right w:val="none" w:sz="0" w:space="0" w:color="auto"/>
      </w:divBdr>
    </w:div>
    <w:div w:id="2004239808">
      <w:bodyDiv w:val="1"/>
      <w:marLeft w:val="0"/>
      <w:marRight w:val="0"/>
      <w:marTop w:val="0"/>
      <w:marBottom w:val="0"/>
      <w:divBdr>
        <w:top w:val="none" w:sz="0" w:space="0" w:color="auto"/>
        <w:left w:val="none" w:sz="0" w:space="0" w:color="auto"/>
        <w:bottom w:val="none" w:sz="0" w:space="0" w:color="auto"/>
        <w:right w:val="none" w:sz="0" w:space="0" w:color="auto"/>
      </w:divBdr>
    </w:div>
    <w:div w:id="2030177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ederalreserve.gov/newsevents/reform_glossary.ht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247wallst.com/banking-finance/2018/09/18/new-york-fed-sees-2-5-billion-profit-on-bear-stearns-in-final-maiden-lane-sales/" TargetMode="External"/><Relationship Id="rId4" Type="http://schemas.openxmlformats.org/officeDocument/2006/relationships/hyperlink" Target="http://www.nber.org/chapters/c11794.pdf" TargetMode="External"/><Relationship Id="rId5" Type="http://schemas.openxmlformats.org/officeDocument/2006/relationships/hyperlink" Target="https://www.americanrhetoric.com/speeches/richardfuldlehmanbrosbankruptcytestimony.htm" TargetMode="External"/><Relationship Id="rId6" Type="http://schemas.openxmlformats.org/officeDocument/2006/relationships/hyperlink" Target="https://pubs.aeaweb.org/doi/pdfplus/10.1257/jel.50.1.151" TargetMode="External"/><Relationship Id="rId7" Type="http://schemas.openxmlformats.org/officeDocument/2006/relationships/hyperlink" Target="http://www.businessweek.com/articles/2013-09-12/where-is-dick-fuld-now-finding-lehman-brothers-last-ceo" TargetMode="External"/><Relationship Id="rId8" Type="http://schemas.openxmlformats.org/officeDocument/2006/relationships/hyperlink" Target="https://fred.stlouisfed.org/series/MORTGAGE5US" TargetMode="External"/><Relationship Id="rId9" Type="http://schemas.openxmlformats.org/officeDocument/2006/relationships/hyperlink" Target="https://www.sec.gov/news/press/2008/2008-64.htm" TargetMode="External"/><Relationship Id="rId10" Type="http://schemas.openxmlformats.org/officeDocument/2006/relationships/hyperlink" Target="https://trends.google.com/trends/explore?date=all&amp;geo=US&amp;q=great%20depression,Recession" TargetMode="External"/><Relationship Id="rId1" Type="http://schemas.openxmlformats.org/officeDocument/2006/relationships/hyperlink" Target="http://fcic-static.law.stanford.edu/cdn_media/fcic-reports/fcic_final_report_full.pdf" TargetMode="External"/><Relationship Id="rId2" Type="http://schemas.openxmlformats.org/officeDocument/2006/relationships/hyperlink" Target="https://www.frbsf.org/education/publications/doctor-econ/2009/december/subprime-mortgage-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28</Pages>
  <Words>10861</Words>
  <Characters>61911</Characters>
  <Application>Microsoft Macintosh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2018-10-23T04:34:00Z</cp:lastPrinted>
  <dcterms:created xsi:type="dcterms:W3CDTF">2018-10-24T05:55:00Z</dcterms:created>
  <dcterms:modified xsi:type="dcterms:W3CDTF">2018-10-24T06:10:00Z</dcterms:modified>
</cp:coreProperties>
</file>